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44" w:rsidRPr="007059C2" w:rsidRDefault="00833B8F" w:rsidP="00833B8F">
      <w:pPr>
        <w:tabs>
          <w:tab w:val="left" w:pos="5954"/>
        </w:tabs>
        <w:spacing w:line="360" w:lineRule="auto"/>
        <w:ind w:left="2977" w:right="3467"/>
        <w:jc w:val="both"/>
        <w:rPr>
          <w:rFonts w:ascii="Arial" w:hAnsi="Arial" w:cs="Arial"/>
          <w:sz w:val="24"/>
          <w:szCs w:val="24"/>
          <w:lang w:val="es-ES_tradnl"/>
        </w:rPr>
      </w:pPr>
      <w:r w:rsidRPr="007059C2">
        <w:rPr>
          <w:rFonts w:ascii="Arial" w:hAnsi="Arial" w:cs="Arial"/>
          <w:sz w:val="24"/>
          <w:szCs w:val="24"/>
          <w:lang w:val="es-ES_tradnl"/>
        </w:rPr>
        <w:t xml:space="preserve">     </w:t>
      </w:r>
      <w:r w:rsidR="00B87E5D" w:rsidRPr="007059C2">
        <w:rPr>
          <w:rFonts w:ascii="Arial" w:hAnsi="Arial" w:cs="Arial"/>
          <w:noProof/>
          <w:sz w:val="24"/>
          <w:szCs w:val="24"/>
          <w:lang w:val="es-ES" w:eastAsia="es-ES"/>
        </w:rPr>
        <w:drawing>
          <wp:inline distT="0" distB="0" distL="0" distR="0">
            <wp:extent cx="1560195" cy="55753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1560195" cy="557530"/>
                    </a:xfrm>
                    <a:prstGeom prst="rect">
                      <a:avLst/>
                    </a:prstGeom>
                  </pic:spPr>
                </pic:pic>
              </a:graphicData>
            </a:graphic>
          </wp:inline>
        </w:drawing>
      </w:r>
    </w:p>
    <w:p w:rsidR="00172A44" w:rsidRPr="007059C2" w:rsidRDefault="00B87E5D" w:rsidP="00833B8F">
      <w:pPr>
        <w:spacing w:line="360" w:lineRule="auto"/>
        <w:jc w:val="center"/>
        <w:rPr>
          <w:rFonts w:ascii="Arial" w:hAnsi="Arial" w:cs="Arial"/>
          <w:color w:val="000000"/>
          <w:sz w:val="24"/>
          <w:szCs w:val="24"/>
          <w:lang w:val="es-ES_tradnl"/>
        </w:rPr>
      </w:pPr>
      <w:r w:rsidRPr="007059C2">
        <w:rPr>
          <w:rFonts w:ascii="Arial" w:hAnsi="Arial" w:cs="Arial"/>
          <w:color w:val="000000"/>
          <w:sz w:val="24"/>
          <w:szCs w:val="24"/>
          <w:lang w:val="es-ES_tradnl"/>
        </w:rPr>
        <w:t>Seguimiento de títulos oficiales</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Facultad Escuela </w:t>
      </w:r>
      <w:r w:rsidR="0079315B">
        <w:rPr>
          <w:rFonts w:ascii="Arial" w:hAnsi="Arial" w:cs="Arial"/>
          <w:sz w:val="24"/>
          <w:szCs w:val="24"/>
          <w:lang w:val="es-ES_tradnl"/>
        </w:rPr>
        <w:t xml:space="preserve">Universitaria </w:t>
      </w:r>
      <w:r w:rsidRPr="007059C2">
        <w:rPr>
          <w:rFonts w:ascii="Arial" w:hAnsi="Arial" w:cs="Arial"/>
          <w:sz w:val="24"/>
          <w:szCs w:val="24"/>
          <w:lang w:val="es-ES_tradnl"/>
        </w:rPr>
        <w:t xml:space="preserve">de Fisioterapia </w:t>
      </w:r>
      <w:r w:rsidR="0079315B">
        <w:rPr>
          <w:rFonts w:ascii="Arial" w:hAnsi="Arial" w:cs="Arial"/>
          <w:sz w:val="24"/>
          <w:szCs w:val="24"/>
          <w:lang w:val="es-ES_tradnl"/>
        </w:rPr>
        <w:t xml:space="preserve">de la </w:t>
      </w:r>
      <w:r w:rsidRPr="007059C2">
        <w:rPr>
          <w:rFonts w:ascii="Arial" w:hAnsi="Arial" w:cs="Arial"/>
          <w:sz w:val="24"/>
          <w:szCs w:val="24"/>
          <w:lang w:val="es-ES_tradnl"/>
        </w:rPr>
        <w:t>ONCE</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Grado en Fisioterapia</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833B8F"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9</w:t>
      </w:r>
      <w:r w:rsidR="00046EC0" w:rsidRPr="007059C2">
        <w:rPr>
          <w:rFonts w:ascii="Arial" w:hAnsi="Arial" w:cs="Arial"/>
          <w:sz w:val="24"/>
          <w:szCs w:val="24"/>
          <w:lang w:val="es-ES_tradnl"/>
        </w:rPr>
        <w:t>. Sistema de Garantía Interna de Calidad</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C85211"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Plan de Mejora </w:t>
      </w:r>
      <w:r w:rsidR="00046EC0" w:rsidRPr="007059C2">
        <w:rPr>
          <w:rFonts w:ascii="Arial" w:hAnsi="Arial" w:cs="Arial"/>
          <w:sz w:val="24"/>
          <w:szCs w:val="24"/>
          <w:lang w:val="es-ES_tradnl"/>
        </w:rPr>
        <w:t>2013/14</w:t>
      </w: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B87E5D" w:rsidRPr="007059C2" w:rsidRDefault="00046EC0" w:rsidP="00833B8F">
      <w:pPr>
        <w:tabs>
          <w:tab w:val="right" w:pos="4805"/>
        </w:tabs>
        <w:spacing w:line="360" w:lineRule="auto"/>
        <w:jc w:val="center"/>
        <w:rPr>
          <w:rFonts w:ascii="Arial" w:hAnsi="Arial" w:cs="Arial"/>
          <w:color w:val="000000"/>
          <w:sz w:val="24"/>
          <w:szCs w:val="24"/>
          <w:lang w:val="es-ES_tradnl"/>
        </w:rPr>
      </w:pPr>
      <w:r w:rsidRPr="007059C2">
        <w:rPr>
          <w:rFonts w:ascii="Arial" w:hAnsi="Arial" w:cs="Arial"/>
          <w:noProof/>
          <w:color w:val="000000"/>
          <w:sz w:val="24"/>
          <w:szCs w:val="24"/>
          <w:lang w:val="es-ES" w:eastAsia="es-ES"/>
        </w:rPr>
        <w:drawing>
          <wp:inline distT="0" distB="0" distL="0" distR="0">
            <wp:extent cx="1626870" cy="8178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26870" cy="817880"/>
                    </a:xfrm>
                    <a:prstGeom prst="rect">
                      <a:avLst/>
                    </a:prstGeom>
                    <a:noFill/>
                    <a:ln w="9525">
                      <a:noFill/>
                      <a:miter lim="800000"/>
                      <a:headEnd/>
                      <a:tailEnd/>
                    </a:ln>
                  </pic:spPr>
                </pic:pic>
              </a:graphicData>
            </a:graphic>
          </wp:inline>
        </w:drawing>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p w:rsidR="00046EC0" w:rsidRPr="007059C2" w:rsidRDefault="00046EC0" w:rsidP="00833B8F">
      <w:pPr>
        <w:spacing w:line="360" w:lineRule="auto"/>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b/>
          <w:sz w:val="24"/>
          <w:szCs w:val="24"/>
          <w:lang w:val="es-ES_tradnl"/>
        </w:rPr>
      </w:pPr>
      <w:r w:rsidRPr="007059C2">
        <w:rPr>
          <w:rFonts w:ascii="Arial" w:hAnsi="Arial" w:cs="Arial"/>
          <w:b/>
          <w:sz w:val="24"/>
          <w:szCs w:val="24"/>
          <w:lang w:val="es-ES_tradnl"/>
        </w:rPr>
        <w:t>Documentos asociados:</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Informe Anual de Seguimiento curso 2013/14. </w:t>
      </w: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Anexo al punto 3 de la Memoria del Título. </w:t>
      </w: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Anexo al punto 5 de la Memoria del Título.</w:t>
      </w:r>
    </w:p>
    <w:p w:rsidR="00046EC0" w:rsidRPr="007059C2" w:rsidRDefault="00046EC0" w:rsidP="00833B8F">
      <w:pPr>
        <w:tabs>
          <w:tab w:val="right" w:pos="4805"/>
        </w:tabs>
        <w:spacing w:line="360" w:lineRule="auto"/>
        <w:jc w:val="both"/>
        <w:rPr>
          <w:rFonts w:ascii="Arial" w:hAnsi="Arial" w:cs="Arial"/>
          <w:color w:val="000000"/>
          <w:sz w:val="28"/>
          <w:szCs w:val="28"/>
          <w:lang w:val="es-ES_tradnl"/>
        </w:rPr>
      </w:pP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bl>
      <w:tblPr>
        <w:tblStyle w:val="Tablaconcuadrcula"/>
        <w:tblW w:w="0" w:type="auto"/>
        <w:tblLook w:val="04A0"/>
      </w:tblPr>
      <w:tblGrid>
        <w:gridCol w:w="2885"/>
        <w:gridCol w:w="2885"/>
        <w:gridCol w:w="2886"/>
      </w:tblGrid>
      <w:tr w:rsidR="00046EC0" w:rsidRPr="007059C2" w:rsidTr="00046EC0">
        <w:tc>
          <w:tcPr>
            <w:tcW w:w="2885"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Elaborado por:</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Comisión de Seguimiento del Título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 07/04/2015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c>
          <w:tcPr>
            <w:tcW w:w="2885"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Revisado por:</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Comisión de Garantía Interna </w:t>
            </w:r>
            <w:r w:rsidR="006A5B99" w:rsidRPr="007059C2">
              <w:rPr>
                <w:rFonts w:ascii="Arial" w:hAnsi="Arial" w:cs="Arial"/>
                <w:sz w:val="24"/>
                <w:szCs w:val="24"/>
                <w:lang w:val="es-ES_tradnl"/>
              </w:rPr>
              <w:t>de Calidad</w:t>
            </w:r>
            <w:r w:rsidRPr="007059C2">
              <w:rPr>
                <w:rFonts w:ascii="Arial" w:hAnsi="Arial" w:cs="Arial"/>
                <w:sz w:val="24"/>
                <w:szCs w:val="24"/>
                <w:lang w:val="es-ES_tradnl"/>
              </w:rPr>
              <w:t xml:space="preserve"> del Centro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w:t>
            </w:r>
            <w:r w:rsidR="00056CB5">
              <w:rPr>
                <w:rFonts w:ascii="Arial" w:hAnsi="Arial" w:cs="Arial"/>
                <w:sz w:val="24"/>
                <w:szCs w:val="24"/>
                <w:lang w:val="es-ES_tradnl"/>
              </w:rPr>
              <w:t xml:space="preserve"> 11/06/2015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c>
          <w:tcPr>
            <w:tcW w:w="2886"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Aprobado por:</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Junta de Centro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w:t>
            </w:r>
            <w:r w:rsidR="00056CB5">
              <w:rPr>
                <w:rFonts w:ascii="Arial" w:hAnsi="Arial" w:cs="Arial"/>
                <w:sz w:val="24"/>
                <w:szCs w:val="24"/>
                <w:lang w:val="es-ES_tradnl"/>
              </w:rPr>
              <w:t xml:space="preserve"> 18/06/2015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r>
    </w:tbl>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p w:rsidR="0039388A" w:rsidRPr="007059C2" w:rsidRDefault="00046EC0" w:rsidP="002139FD">
      <w:pPr>
        <w:spacing w:line="360" w:lineRule="auto"/>
        <w:jc w:val="center"/>
        <w:rPr>
          <w:rFonts w:ascii="Arial" w:eastAsia="Times New Roman" w:hAnsi="Arial" w:cs="Arial"/>
          <w:sz w:val="24"/>
          <w:szCs w:val="24"/>
          <w:lang w:val="es-ES_tradnl" w:eastAsia="es-ES"/>
        </w:rPr>
      </w:pPr>
      <w:r w:rsidRPr="007059C2">
        <w:rPr>
          <w:rFonts w:ascii="Arial" w:hAnsi="Arial" w:cs="Arial"/>
          <w:color w:val="000000"/>
          <w:sz w:val="24"/>
          <w:szCs w:val="24"/>
          <w:lang w:val="es-ES_tradnl"/>
        </w:rPr>
        <w:br w:type="page"/>
      </w:r>
      <w:r w:rsidR="0039388A" w:rsidRPr="007059C2">
        <w:rPr>
          <w:rFonts w:ascii="Arial" w:eastAsia="Times New Roman" w:hAnsi="Arial" w:cs="Arial"/>
          <w:b/>
          <w:bCs/>
          <w:sz w:val="24"/>
          <w:szCs w:val="24"/>
          <w:lang w:val="es-ES_tradnl" w:eastAsia="es-ES"/>
        </w:rPr>
        <w:lastRenderedPageBreak/>
        <w:t>Acción de mejora</w:t>
      </w:r>
    </w:p>
    <w:p w:rsidR="00833B8F" w:rsidRPr="007059C2" w:rsidRDefault="00833B8F" w:rsidP="00833B8F">
      <w:pPr>
        <w:autoSpaceDE w:val="0"/>
        <w:autoSpaceDN w:val="0"/>
        <w:adjustRightInd w:val="0"/>
        <w:spacing w:line="360" w:lineRule="auto"/>
        <w:jc w:val="both"/>
        <w:rPr>
          <w:rFonts w:ascii="Arial" w:eastAsia="Times New Roman" w:hAnsi="Arial" w:cs="Arial"/>
          <w:b/>
          <w:sz w:val="24"/>
          <w:szCs w:val="24"/>
          <w:lang w:val="es-ES_tradnl" w:eastAsia="es-ES"/>
        </w:rPr>
      </w:pP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 w:eastAsia="Times New Roman" w:hAnsi="Arial" w:cs="Arial"/>
          <w:b/>
          <w:sz w:val="24"/>
          <w:szCs w:val="24"/>
          <w:lang w:val="es-ES_tradnl" w:eastAsia="es-ES"/>
        </w:rPr>
        <w:t xml:space="preserve">ACCIÓN DE MEJORA 1: </w:t>
      </w:r>
      <w:r w:rsidRPr="007059C2">
        <w:rPr>
          <w:rFonts w:ascii="ArialMT" w:hAnsi="ArialMT" w:cs="ArialMT"/>
          <w:sz w:val="24"/>
          <w:szCs w:val="24"/>
          <w:lang w:val="es-ES_tradnl"/>
        </w:rPr>
        <w:t>Coordinación de la asignatura Trabajo Fin de Grado (TFG).</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Existe un cierto nivel de desconexión entre la asignatura de Introducción a la Investigación Clínica y la de TFG. Por otro lado, las directrices de dirección y evaluación de los trabajos entre los tutores presentan ciertas deficiencias, lo que hace que existan discrepancias.</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9388A" w:rsidRPr="007059C2" w:rsidRDefault="0039388A" w:rsidP="00833B8F">
      <w:pPr>
        <w:pStyle w:val="Prrafodelista"/>
        <w:numPr>
          <w:ilvl w:val="0"/>
          <w:numId w:val="14"/>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Perfeccionamiento y desarrollo del documento sobre Normativa para la elaboración de los TFG, así como de la ficha de evaluación para los tutores.</w:t>
      </w:r>
    </w:p>
    <w:p w:rsidR="0039388A" w:rsidRPr="007059C2" w:rsidRDefault="0039388A" w:rsidP="00833B8F">
      <w:pPr>
        <w:pStyle w:val="Prrafodelista"/>
        <w:numPr>
          <w:ilvl w:val="0"/>
          <w:numId w:val="14"/>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Coordinación entre las demandas de esta asignatura y las competencias que desarrollan en la de Introducción a la Investigación Clínica, para lo que se llevarán a cabo reuniones organizativas entre los profesores implicados en ambas asignaturas.</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Coordinador de la asignatura Trabajo Fin de Grado.</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Implicados: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PDI y estudiantes.</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bCs/>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Pr="007059C2">
        <w:rPr>
          <w:rFonts w:ascii="Arial" w:eastAsia="Times New Roman" w:hAnsi="Arial" w:cs="Arial"/>
          <w:bCs/>
          <w:sz w:val="24"/>
          <w:szCs w:val="24"/>
          <w:lang w:val="es-ES_tradnl" w:eastAsia="es-ES"/>
        </w:rPr>
        <w:t xml:space="preserve"> Corto</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Se desarrollarán estas acciones a lo largo del curso académico 2014/15, con el</w:t>
      </w:r>
      <w:r w:rsidR="007059C2" w:rsidRPr="007059C2">
        <w:rPr>
          <w:rFonts w:ascii="ArialMT" w:hAnsi="ArialMT" w:cs="ArialMT"/>
          <w:sz w:val="24"/>
          <w:szCs w:val="24"/>
          <w:lang w:val="es-ES_tradnl"/>
        </w:rPr>
        <w:t xml:space="preserve"> </w:t>
      </w:r>
      <w:r w:rsidRPr="007059C2">
        <w:rPr>
          <w:rFonts w:ascii="ArialMT" w:hAnsi="ArialMT" w:cs="ArialMT"/>
          <w:sz w:val="24"/>
          <w:szCs w:val="24"/>
          <w:lang w:val="es-ES_tradnl"/>
        </w:rPr>
        <w:t>fin de que se materialicen sus resultados, bien en este curso o al menos, en el</w:t>
      </w:r>
      <w:r w:rsidR="007059C2" w:rsidRPr="007059C2">
        <w:rPr>
          <w:rFonts w:ascii="ArialMT" w:hAnsi="ArialMT" w:cs="ArialMT"/>
          <w:sz w:val="24"/>
          <w:szCs w:val="24"/>
          <w:lang w:val="es-ES_tradnl"/>
        </w:rPr>
        <w:t xml:space="preserve"> </w:t>
      </w:r>
      <w:r w:rsidRPr="007059C2">
        <w:rPr>
          <w:rFonts w:ascii="ArialMT" w:hAnsi="ArialMT" w:cs="ArialMT"/>
          <w:sz w:val="24"/>
          <w:szCs w:val="24"/>
          <w:lang w:val="es-ES_tradnl"/>
        </w:rPr>
        <w:t>siguiente.</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833B8F" w:rsidRPr="007059C2" w:rsidRDefault="00833B8F" w:rsidP="00833B8F">
      <w:pPr>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br w:type="page"/>
      </w:r>
    </w:p>
    <w:p w:rsidR="0039388A" w:rsidRPr="007059C2" w:rsidRDefault="0039388A" w:rsidP="00833B8F">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 xml:space="preserve">Indicadores de control: </w:t>
      </w:r>
    </w:p>
    <w:p w:rsidR="0039388A" w:rsidRPr="007059C2" w:rsidRDefault="0039388A" w:rsidP="00833B8F">
      <w:pPr>
        <w:pStyle w:val="Prrafodelista"/>
        <w:numPr>
          <w:ilvl w:val="0"/>
          <w:numId w:val="13"/>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Información</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recogida en el</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PAT.</w:t>
      </w:r>
    </w:p>
    <w:p w:rsidR="0039388A" w:rsidRPr="007059C2" w:rsidRDefault="0039388A" w:rsidP="00833B8F">
      <w:pPr>
        <w:pStyle w:val="Prrafodelista"/>
        <w:numPr>
          <w:ilvl w:val="0"/>
          <w:numId w:val="13"/>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Calidad en la</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presentación de</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los TFG.</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Pr="007059C2">
        <w:rPr>
          <w:rFonts w:ascii="Arial" w:eastAsia="Times New Roman" w:hAnsi="Arial" w:cs="Arial"/>
          <w:bCs/>
          <w:sz w:val="24"/>
          <w:szCs w:val="24"/>
          <w:lang w:val="es-ES_tradnl" w:eastAsia="es-ES"/>
        </w:rPr>
        <w:t>Anual</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046EC0" w:rsidRPr="007059C2" w:rsidRDefault="00046EC0" w:rsidP="00833B8F">
      <w:pPr>
        <w:spacing w:line="360" w:lineRule="auto"/>
        <w:jc w:val="both"/>
        <w:rPr>
          <w:rFonts w:ascii="Arial" w:hAnsi="Arial" w:cs="Arial"/>
          <w:color w:val="000000"/>
          <w:sz w:val="24"/>
          <w:szCs w:val="24"/>
          <w:lang w:val="es-ES_tradnl"/>
        </w:rPr>
      </w:pP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833B8F">
      <w:pPr>
        <w:spacing w:line="360" w:lineRule="auto"/>
        <w:jc w:val="cente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833B8F" w:rsidRPr="007059C2" w:rsidRDefault="00833B8F" w:rsidP="00833B8F">
      <w:pPr>
        <w:spacing w:line="360" w:lineRule="auto"/>
        <w:jc w:val="both"/>
        <w:rPr>
          <w:rFonts w:ascii="Arial" w:eastAsia="Times New Roman" w:hAnsi="Arial" w:cs="Arial"/>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ACCIÓN DE MEJORA</w:t>
      </w:r>
      <w:r w:rsidR="00833B8F" w:rsidRPr="007059C2">
        <w:rPr>
          <w:rFonts w:ascii="Arial" w:eastAsia="Times New Roman" w:hAnsi="Arial" w:cs="Arial"/>
          <w:b/>
          <w:sz w:val="24"/>
          <w:szCs w:val="24"/>
          <w:lang w:val="es-ES_tradnl" w:eastAsia="es-ES"/>
        </w:rPr>
        <w:t xml:space="preserve"> 2</w:t>
      </w:r>
      <w:r w:rsidRPr="007059C2">
        <w:rPr>
          <w:rFonts w:ascii="Arial" w:eastAsia="Times New Roman" w:hAnsi="Arial" w:cs="Arial"/>
          <w:b/>
          <w:sz w:val="24"/>
          <w:szCs w:val="24"/>
          <w:lang w:val="es-ES_tradnl" w:eastAsia="es-ES"/>
        </w:rPr>
        <w:t xml:space="preserve">: </w:t>
      </w:r>
      <w:r w:rsidR="00833B8F" w:rsidRPr="007059C2">
        <w:rPr>
          <w:rFonts w:ascii="Arial" w:hAnsi="Arial" w:cs="Arial"/>
          <w:sz w:val="24"/>
          <w:szCs w:val="24"/>
          <w:lang w:val="es-ES_tradnl"/>
        </w:rPr>
        <w:t>Revisión de competencias generales, transversales y específicas actitudinales del Título de Grado en Fisioterapia.</w:t>
      </w:r>
    </w:p>
    <w:p w:rsidR="0039388A" w:rsidRPr="007059C2" w:rsidRDefault="0039388A" w:rsidP="00833B8F">
      <w:pPr>
        <w:spacing w:line="360" w:lineRule="auto"/>
        <w:jc w:val="both"/>
        <w:rPr>
          <w:rFonts w:ascii="Arial" w:eastAsia="Times New Roman" w:hAnsi="Arial" w:cs="Arial"/>
          <w:b/>
          <w:sz w:val="24"/>
          <w:szCs w:val="24"/>
          <w:lang w:val="es-ES_tradnl" w:eastAsia="es-ES"/>
        </w:rPr>
      </w:pP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833B8F" w:rsidRPr="007059C2" w:rsidRDefault="00833B8F"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La Comisión de Seguimiento del Título ha detectado una duplicidad en algunas competencias generales, trasnversales y específicas actitudinales del Grado en Fisioterapia.</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Crear una Comisión para que analice las competencias del Título y elabore una propuesta de modificación de las mismas.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Redistribución de las nuevas competencias transversales en las distintas materias del Título.</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Reformulación de los resultados de aprendizaje vinculados a dichas competencias.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Remisión de la propuesta para su aprobación en Junta de Centro.</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Comunicación de los cambios al Vicerrectorado de Estudios de Grado de la UAM.</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Incorporación de los cambios en las Guías Docentes.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Información al profesorado de los resultados del proceso.</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833B8F" w:rsidRPr="007059C2">
        <w:rPr>
          <w:rFonts w:ascii="Arial" w:hAnsi="Arial" w:cs="Arial"/>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833B8F" w:rsidRPr="007059C2">
        <w:rPr>
          <w:rFonts w:ascii="Arial" w:hAnsi="Arial" w:cs="Arial"/>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833B8F" w:rsidRPr="007059C2">
        <w:rPr>
          <w:rFonts w:ascii="Arial" w:hAnsi="Arial" w:cs="Arial"/>
          <w:sz w:val="24"/>
          <w:szCs w:val="24"/>
          <w:lang w:val="es-ES_tradnl"/>
        </w:rPr>
        <w:t>Estudiantes y PDI.</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833B8F"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833B8F" w:rsidRPr="007059C2">
        <w:rPr>
          <w:rFonts w:ascii="Arial" w:eastAsia="Times New Roman" w:hAnsi="Arial" w:cs="Arial"/>
          <w:bCs/>
          <w:sz w:val="24"/>
          <w:szCs w:val="24"/>
          <w:lang w:val="es-ES_tradnl" w:eastAsia="es-ES"/>
        </w:rPr>
        <w:t xml:space="preserve">Media </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833B8F" w:rsidRPr="007059C2">
        <w:rPr>
          <w:rFonts w:ascii="Arial" w:eastAsia="Times New Roman" w:hAnsi="Arial" w:cs="Arial"/>
          <w:bCs/>
          <w:sz w:val="24"/>
          <w:szCs w:val="24"/>
          <w:lang w:val="es-ES_tradnl" w:eastAsia="es-ES"/>
        </w:rPr>
        <w:t>Corto</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 xml:space="preserve">Cronograma: </w:t>
      </w:r>
    </w:p>
    <w:p w:rsidR="00833B8F" w:rsidRPr="007059C2" w:rsidRDefault="00833B8F"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Esta Acción se ha llevado a cabo a lo largo del primer semestre del curso 2014/15 (La Acción se completó previamente a la elaboración del Informe Anual de Seguimiento del curso 2013/14). Inicialmente, se constituyó una Comisión delegada de la Comisión de Seguimiento, formada por profesores del Título, que analizó y reformuló las competencias vinculadas a la Titulación, generando el documento Anexo al punto 3 de la Memoria (archivo vinculado al Plan de mejora). Posteriormente, la Comisión de Seguimiento efectuó una redistribución de las nuevas competencias en las distintas materias y una reformulación de los resultados de aprendizaje vinculados a las mismas, generando el documento Anexo al punto 5 de la Memoria, también vinculado al Plan de mejora. Para más información, ver Acta 06/14 de la Comisión de Seguimiento del Título. Estos documentos fueron aprobados por la Junta de Centro (Acta 03/14) y remitidos a la UAM para su conocimiento. Los cambios han sido incorporados en las guías docentes para el curso académico 2015/16.</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Indicadores de control: </w:t>
      </w:r>
      <w:r w:rsidR="00833B8F" w:rsidRPr="007059C2">
        <w:rPr>
          <w:rFonts w:ascii="Arial" w:eastAsia="Times New Roman" w:hAnsi="Arial" w:cs="Arial"/>
          <w:bCs/>
          <w:sz w:val="24"/>
          <w:szCs w:val="24"/>
          <w:lang w:val="es-ES_tradnl" w:eastAsia="es-ES"/>
        </w:rPr>
        <w:t>No procede</w:t>
      </w:r>
      <w:r w:rsidR="002139FD" w:rsidRPr="007059C2">
        <w:rPr>
          <w:rFonts w:ascii="Arial" w:eastAsia="Times New Roman" w:hAnsi="Arial" w:cs="Arial"/>
          <w:bCs/>
          <w:sz w:val="24"/>
          <w:szCs w:val="24"/>
          <w:lang w:val="es-ES_tradnl" w:eastAsia="es-ES"/>
        </w:rPr>
        <w:t>.</w:t>
      </w:r>
    </w:p>
    <w:p w:rsidR="0032267C" w:rsidRPr="007059C2" w:rsidRDefault="0032267C"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00833B8F" w:rsidRPr="007059C2">
        <w:rPr>
          <w:rFonts w:ascii="Arial" w:eastAsia="Times New Roman" w:hAnsi="Arial" w:cs="Arial"/>
          <w:bCs/>
          <w:sz w:val="24"/>
          <w:szCs w:val="24"/>
          <w:lang w:val="es-ES_tradnl" w:eastAsia="es-ES"/>
        </w:rPr>
        <w:t>No procede</w:t>
      </w:r>
      <w:r w:rsidR="002139FD" w:rsidRPr="007059C2">
        <w:rPr>
          <w:rFonts w:ascii="Arial" w:eastAsia="Times New Roman" w:hAnsi="Arial" w:cs="Arial"/>
          <w:bCs/>
          <w:sz w:val="24"/>
          <w:szCs w:val="24"/>
          <w:lang w:val="es-ES_tradnl" w:eastAsia="es-ES"/>
        </w:rPr>
        <w:t>.</w:t>
      </w: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32267C">
      <w:pPr>
        <w:spacing w:line="360" w:lineRule="auto"/>
        <w:jc w:val="center"/>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32267C" w:rsidRPr="007059C2" w:rsidRDefault="0032267C" w:rsidP="0032267C">
      <w:pPr>
        <w:spacing w:line="360" w:lineRule="auto"/>
        <w:jc w:val="both"/>
        <w:rPr>
          <w:rFonts w:ascii="Arial" w:eastAsia="Times New Roman" w:hAnsi="Arial" w:cs="Arial"/>
          <w:b/>
          <w:sz w:val="24"/>
          <w:szCs w:val="24"/>
          <w:lang w:val="es-ES_tradnl" w:eastAsia="es-ES"/>
        </w:rPr>
      </w:pP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ACCIÓN DE MEJORA 3</w:t>
      </w:r>
      <w:r w:rsidR="0039388A" w:rsidRPr="007059C2">
        <w:rPr>
          <w:rFonts w:ascii="Arial" w:eastAsia="Times New Roman" w:hAnsi="Arial" w:cs="Arial"/>
          <w:b/>
          <w:sz w:val="24"/>
          <w:szCs w:val="24"/>
          <w:lang w:val="es-ES_tradnl" w:eastAsia="es-ES"/>
        </w:rPr>
        <w:t xml:space="preserve">: </w:t>
      </w:r>
      <w:r w:rsidRPr="007059C2">
        <w:rPr>
          <w:rFonts w:ascii="Arial" w:hAnsi="Arial" w:cs="Arial"/>
          <w:sz w:val="24"/>
          <w:szCs w:val="24"/>
          <w:lang w:val="es-ES_tradnl"/>
        </w:rPr>
        <w:t>Incremento en la oferta de movilidad.</w:t>
      </w:r>
    </w:p>
    <w:p w:rsidR="0039388A" w:rsidRPr="007059C2" w:rsidRDefault="0039388A" w:rsidP="0032267C">
      <w:pPr>
        <w:spacing w:line="360" w:lineRule="auto"/>
        <w:jc w:val="both"/>
        <w:rPr>
          <w:rFonts w:ascii="Arial" w:eastAsia="Times New Roman" w:hAnsi="Arial" w:cs="Arial"/>
          <w:b/>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Sólo existe un convenio de movilidad entre la Escuela y una universidad belga. Se desea aumentar la oferta con algún centro universitario de habla inglesa.</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32267C" w:rsidP="0032267C">
      <w:pPr>
        <w:pStyle w:val="Prrafodelista"/>
        <w:numPr>
          <w:ilvl w:val="0"/>
          <w:numId w:val="16"/>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Establecer contacto con </w:t>
      </w:r>
      <w:r w:rsidR="007059C2" w:rsidRPr="007059C2">
        <w:rPr>
          <w:rFonts w:ascii="Arial" w:hAnsi="Arial" w:cs="Arial"/>
          <w:sz w:val="24"/>
          <w:szCs w:val="24"/>
          <w:lang w:val="es-ES_tradnl"/>
        </w:rPr>
        <w:t>alguna</w:t>
      </w:r>
      <w:r w:rsidRPr="007059C2">
        <w:rPr>
          <w:rFonts w:ascii="Arial" w:hAnsi="Arial" w:cs="Arial"/>
          <w:sz w:val="24"/>
          <w:szCs w:val="24"/>
          <w:lang w:val="es-ES_tradnl"/>
        </w:rPr>
        <w:t xml:space="preserve"> institución universitaria europea de interés, de habla inglesa.</w:t>
      </w:r>
    </w:p>
    <w:p w:rsidR="0032267C" w:rsidRPr="007059C2" w:rsidRDefault="0032267C" w:rsidP="0032267C">
      <w:pPr>
        <w:pStyle w:val="Prrafodelista"/>
        <w:numPr>
          <w:ilvl w:val="0"/>
          <w:numId w:val="16"/>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Realizar un convenio con dicha entidad dentro del Programa Erasmus.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 w:hAnsi="Arial" w:cs="Arial"/>
          <w:sz w:val="24"/>
          <w:szCs w:val="24"/>
          <w:lang w:val="es-ES_tradnl"/>
        </w:rPr>
        <w:t>Responsable de Relaciones Internacionales del Centro.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 w:hAnsi="Arial" w:cs="Arial"/>
          <w:sz w:val="24"/>
          <w:szCs w:val="24"/>
          <w:lang w:val="es-ES_tradnl"/>
        </w:rPr>
        <w:t>Comisión de Seguimiento del Título.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 w:hAnsi="Arial" w:cs="Arial"/>
          <w:sz w:val="24"/>
          <w:szCs w:val="24"/>
          <w:lang w:val="es-ES_tradnl"/>
        </w:rPr>
        <w:t>PDI y estudiantes.</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32267C"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32267C" w:rsidRPr="007059C2">
        <w:rPr>
          <w:rFonts w:ascii="Arial" w:eastAsia="Times New Roman" w:hAnsi="Arial" w:cs="Arial"/>
          <w:bCs/>
          <w:sz w:val="24"/>
          <w:szCs w:val="24"/>
          <w:lang w:val="es-ES_tradnl" w:eastAsia="es-ES"/>
        </w:rPr>
        <w:t>Medio</w:t>
      </w:r>
      <w:r w:rsidR="002139FD" w:rsidRPr="007059C2">
        <w:rPr>
          <w:rFonts w:ascii="Arial" w:eastAsia="Times New Roman" w:hAnsi="Arial" w:cs="Arial"/>
          <w:bCs/>
          <w:sz w:val="24"/>
          <w:szCs w:val="24"/>
          <w:lang w:val="es-ES_tradnl" w:eastAsia="es-ES"/>
        </w:rPr>
        <w:t>.</w:t>
      </w:r>
    </w:p>
    <w:p w:rsidR="0032267C" w:rsidRPr="007059C2" w:rsidRDefault="0032267C"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el curso 2014/15 se trabajará en la búsqueda de contactos, con el fin de alcanzar la firma de algún convenio en el curso 2015/16 para que se haga efectivo en el curso 2016/17.</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Indicadores de control: </w:t>
      </w:r>
      <w:r w:rsidR="0032267C" w:rsidRPr="007059C2">
        <w:rPr>
          <w:rFonts w:ascii="Arial" w:hAnsi="Arial" w:cs="Arial"/>
          <w:sz w:val="24"/>
          <w:szCs w:val="24"/>
          <w:lang w:val="es-ES_tradnl"/>
        </w:rPr>
        <w:t>Los referentes a movilidad.</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Seguimiento del indicador: </w:t>
      </w:r>
      <w:r w:rsidR="0032267C" w:rsidRPr="007059C2">
        <w:rPr>
          <w:rFonts w:ascii="Arial" w:hAnsi="Arial" w:cs="Arial"/>
          <w:sz w:val="24"/>
          <w:szCs w:val="24"/>
          <w:lang w:val="es-ES_tradnl"/>
        </w:rPr>
        <w:t>Anual.</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2267C" w:rsidRPr="007059C2" w:rsidRDefault="0032267C">
      <w:pP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br w:type="page"/>
      </w:r>
    </w:p>
    <w:p w:rsidR="0039388A" w:rsidRPr="007059C2" w:rsidRDefault="0039388A" w:rsidP="0032267C">
      <w:pPr>
        <w:spacing w:line="360" w:lineRule="auto"/>
        <w:jc w:val="center"/>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32267C" w:rsidRPr="007059C2" w:rsidRDefault="0032267C" w:rsidP="0032267C">
      <w:pPr>
        <w:spacing w:line="360" w:lineRule="auto"/>
        <w:jc w:val="both"/>
        <w:rPr>
          <w:rFonts w:ascii="Arial" w:eastAsia="Times New Roman" w:hAnsi="Arial" w:cs="Arial"/>
          <w:b/>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 xml:space="preserve">ACCIÓN DE MEJORA </w:t>
      </w:r>
      <w:r w:rsidR="0032267C" w:rsidRPr="007059C2">
        <w:rPr>
          <w:rFonts w:ascii="Arial" w:eastAsia="Times New Roman" w:hAnsi="Arial" w:cs="Arial"/>
          <w:b/>
          <w:sz w:val="24"/>
          <w:szCs w:val="24"/>
          <w:lang w:val="es-ES_tradnl" w:eastAsia="es-ES"/>
        </w:rPr>
        <w:t>4</w:t>
      </w:r>
      <w:r w:rsidRPr="007059C2">
        <w:rPr>
          <w:rFonts w:ascii="Arial" w:eastAsia="Times New Roman" w:hAnsi="Arial" w:cs="Arial"/>
          <w:b/>
          <w:sz w:val="24"/>
          <w:szCs w:val="24"/>
          <w:lang w:val="es-ES_tradnl" w:eastAsia="es-ES"/>
        </w:rPr>
        <w:t xml:space="preserve">: </w:t>
      </w:r>
      <w:r w:rsidR="0032267C" w:rsidRPr="007059C2">
        <w:rPr>
          <w:rFonts w:ascii="Arial" w:hAnsi="Arial" w:cs="Arial"/>
          <w:sz w:val="24"/>
          <w:szCs w:val="24"/>
          <w:lang w:val="es-ES_tradnl"/>
        </w:rPr>
        <w:t>Incremento de los niveles de participación de los estudiantes en las encuestas de valoración de la actividad docente.</w:t>
      </w:r>
    </w:p>
    <w:p w:rsidR="0039388A" w:rsidRPr="007059C2" w:rsidRDefault="0039388A" w:rsidP="0032267C">
      <w:pPr>
        <w:spacing w:line="360" w:lineRule="auto"/>
        <w:jc w:val="both"/>
        <w:rPr>
          <w:rFonts w:ascii="Arial" w:eastAsia="Times New Roman" w:hAnsi="Arial" w:cs="Arial"/>
          <w:b/>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Durante los cursos 2012/13 y 2013/14, el nivel de participación en las encuestas de valoración docente, por parte de los estudiantes, ha sido muy bajo. Esto ha conducido a que la información recogida no haya sido suficiente para poder extraer conclusiones válidas.</w:t>
      </w:r>
    </w:p>
    <w:p w:rsidR="00056CB5" w:rsidRPr="007059C2" w:rsidRDefault="00056CB5" w:rsidP="00056CB5">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la Junta de Centro ordinaria de finales del curso 2013/14, se acuerda, con el apoyo de todos los representantes de estudiantes, articular un mecanismo presencial para cumplimentar las encuestas, utilizando horas de clase. Este procedimiento se pone en marcha en las campañas del curso 2014/15, observándose un aumento en la participación. No obstante, algunos estudiantes protestan ante este procedimiento. Por otro lado, en el curso académico 2014/15, se crea un grupo de trabajo para revisar el reglamento de encuestas de la UAM.</w:t>
      </w:r>
    </w:p>
    <w:p w:rsidR="00056CB5" w:rsidRPr="007059C2" w:rsidRDefault="00056CB5" w:rsidP="00056CB5">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dicho reglamento, no se establecen directrices generales para fomentar la participación, sino que será cada Centro el que deba realizar las acciones que considere más oportunas, si bien, la opción de encuesta presencial es la más aceptada por todos los representantes de las facultades.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056CB5" w:rsidP="0032267C">
      <w:p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 xml:space="preserve">Acordar </w:t>
      </w:r>
      <w:r w:rsidR="0032267C" w:rsidRPr="007059C2">
        <w:rPr>
          <w:rFonts w:ascii="Arial" w:hAnsi="Arial" w:cs="Arial"/>
          <w:sz w:val="24"/>
          <w:szCs w:val="24"/>
          <w:lang w:val="es-ES_tradnl"/>
        </w:rPr>
        <w:t>un procedimiento para incrementar los niveles de participación de los estudiantes en las encuestas.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 w:hAnsi="Arial" w:cs="Arial"/>
          <w:sz w:val="24"/>
          <w:szCs w:val="24"/>
          <w:lang w:val="es-ES_tradnl"/>
        </w:rPr>
        <w:t>Comisión de Garantía Interna de Calidad del Centro.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 w:hAnsi="Arial" w:cs="Arial"/>
          <w:sz w:val="24"/>
          <w:szCs w:val="24"/>
          <w:lang w:val="es-ES_tradnl"/>
        </w:rPr>
        <w:t>Comisión de Seguimiento del Título.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 w:hAnsi="Arial" w:cs="Arial"/>
          <w:sz w:val="24"/>
          <w:szCs w:val="24"/>
          <w:lang w:val="es-ES_tradnl"/>
        </w:rPr>
        <w:t>Estudiantes.</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 xml:space="preserve">Plazo de ejecución: </w:t>
      </w:r>
      <w:r w:rsidR="0032267C" w:rsidRPr="007059C2">
        <w:rPr>
          <w:rFonts w:ascii="Arial" w:eastAsia="Times New Roman" w:hAnsi="Arial" w:cs="Arial"/>
          <w:b/>
          <w:bCs/>
          <w:sz w:val="24"/>
          <w:szCs w:val="24"/>
          <w:lang w:val="es-ES_tradnl" w:eastAsia="es-ES"/>
        </w:rPr>
        <w:t xml:space="preserve"> </w:t>
      </w:r>
      <w:r w:rsidR="0032267C" w:rsidRPr="007059C2">
        <w:rPr>
          <w:rFonts w:ascii="Arial" w:eastAsia="Times New Roman" w:hAnsi="Arial" w:cs="Arial"/>
          <w:bCs/>
          <w:sz w:val="24"/>
          <w:szCs w:val="24"/>
          <w:lang w:val="es-ES_tradnl" w:eastAsia="es-ES"/>
        </w:rPr>
        <w:t>Corto</w:t>
      </w:r>
      <w:r w:rsidR="002139FD" w:rsidRPr="007059C2">
        <w:rPr>
          <w:rFonts w:ascii="Arial" w:eastAsia="Times New Roman" w:hAnsi="Arial" w:cs="Arial"/>
          <w:bCs/>
          <w:sz w:val="24"/>
          <w:szCs w:val="24"/>
          <w:lang w:val="es-ES_tradnl" w:eastAsia="es-ES"/>
        </w:rPr>
        <w:t>.</w:t>
      </w:r>
    </w:p>
    <w:p w:rsidR="0032267C" w:rsidRPr="007059C2" w:rsidRDefault="0032267C"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056CB5"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 </w:t>
      </w:r>
      <w:r w:rsidR="00056CB5">
        <w:rPr>
          <w:rFonts w:ascii="Arial" w:hAnsi="Arial" w:cs="Arial"/>
          <w:sz w:val="24"/>
          <w:szCs w:val="24"/>
          <w:lang w:val="es-ES_tradnl"/>
        </w:rPr>
        <w:t xml:space="preserve">En la reunión ordinaria de la Comisión de Garantía Interna de Calidad del Centro (junio de 2015) se analiza </w:t>
      </w:r>
      <w:r w:rsidRPr="007059C2">
        <w:rPr>
          <w:rFonts w:ascii="Arial" w:hAnsi="Arial" w:cs="Arial"/>
          <w:sz w:val="24"/>
          <w:szCs w:val="24"/>
          <w:lang w:val="es-ES_tradnl"/>
        </w:rPr>
        <w:t>los resultados obtenidos en cuanto a la cobertura de encuesta</w:t>
      </w:r>
      <w:r w:rsidR="00056CB5">
        <w:rPr>
          <w:rFonts w:ascii="Arial" w:hAnsi="Arial" w:cs="Arial"/>
          <w:sz w:val="24"/>
          <w:szCs w:val="24"/>
          <w:lang w:val="es-ES_tradnl"/>
        </w:rPr>
        <w:t>s en el curso 2014/15  y se reflexiona sobre el procedimiento, llegando a los siguientes consensos:</w:t>
      </w:r>
    </w:p>
    <w:p w:rsidR="00056CB5" w:rsidRDefault="00056CB5" w:rsidP="00056CB5">
      <w:pPr>
        <w:pStyle w:val="Prrafodelista"/>
        <w:numPr>
          <w:ilvl w:val="0"/>
          <w:numId w:val="18"/>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 xml:space="preserve"> Aumentar la motivación de los colectivos universitarios por la cumplimentación de las encuestas, para lo cual:</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Se programará una reunión previa a la campaña de encuestas del primer semestre de cada curso académico,  entre el Director del Centro, la Coordinadora de Calidad, y los representantes de estudiantes de Grado y Másteres, para explicarles todo el proceso del SGIC y la importancia de la recogida de información sobre valoración de la actividad docente. El objetivo de esta reunión es que los representantes de los estudiantes actúen como intermediarios con sus compañeros y colaboren en aumentar la motivación de éstos por la utilización de la herramienta de encuestas.</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Insistir a los profesores para que participen activamente incentivando a sus alumnos. Se tratará el tema en los claustros ordinarios y se enviarán recordatorios periódicos durante los períodos de encuestas a través de correo electrónico.</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Se ofrecerá como incentivo, un día no lectivo en el curso siguiente si se alcanza una cobertura igual o superior al 70% (sólo para alumnos de Grado).</w:t>
      </w:r>
    </w:p>
    <w:p w:rsidR="00056CB5" w:rsidRPr="00056CB5" w:rsidRDefault="00056CB5" w:rsidP="00056CB5">
      <w:pPr>
        <w:pStyle w:val="Prrafodelista"/>
        <w:numPr>
          <w:ilvl w:val="0"/>
          <w:numId w:val="18"/>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Facilitar a los estudiantes el proceso de cumplimentación de las encuestas, programando sesiones presenciales en las que  contarán con la ayuda de personal de  la Escuela para rellenar sus encuestas. Estas sesiones se realizarán fuera del horario de clases.</w:t>
      </w:r>
    </w:p>
    <w:p w:rsidR="0032267C" w:rsidRPr="007059C2" w:rsidRDefault="0032267C"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Indicadores de control: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Número de encuestas cumplimentadas por los estudiantes en sus diversas  modalidades: satisfacción con el Plan, valoración de la actividad docente por profesor y por asignatura.</w:t>
      </w:r>
    </w:p>
    <w:p w:rsidR="0032267C" w:rsidRPr="007059C2" w:rsidRDefault="0032267C"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Seguimiento del indicador: </w:t>
      </w:r>
      <w:r w:rsidR="0032267C" w:rsidRPr="007059C2">
        <w:rPr>
          <w:rFonts w:ascii="Arial" w:hAnsi="Arial" w:cs="Arial"/>
          <w:sz w:val="24"/>
          <w:szCs w:val="24"/>
          <w:lang w:val="es-ES_tradnl"/>
        </w:rPr>
        <w:t>Anual.</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hAnsi="Arial" w:cs="Arial"/>
          <w:color w:val="000000"/>
          <w:sz w:val="24"/>
          <w:szCs w:val="24"/>
          <w:lang w:val="es-ES_tradnl"/>
        </w:rPr>
      </w:pP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2139FD">
      <w:pPr>
        <w:spacing w:line="360" w:lineRule="auto"/>
        <w:jc w:val="cente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2139FD" w:rsidRPr="007059C2" w:rsidRDefault="002139FD" w:rsidP="002139FD">
      <w:pPr>
        <w:spacing w:line="360" w:lineRule="auto"/>
        <w:jc w:val="center"/>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jc w:val="both"/>
        <w:rPr>
          <w:rFonts w:ascii="ArialMT" w:hAnsi="ArialMT" w:cs="ArialMT"/>
          <w:sz w:val="24"/>
          <w:szCs w:val="24"/>
          <w:lang w:val="es-ES_tradnl"/>
        </w:rPr>
      </w:pPr>
      <w:r w:rsidRPr="007059C2">
        <w:rPr>
          <w:rFonts w:ascii="Arial" w:eastAsia="Times New Roman" w:hAnsi="Arial" w:cs="Arial"/>
          <w:b/>
          <w:sz w:val="24"/>
          <w:szCs w:val="24"/>
          <w:lang w:val="es-ES_tradnl" w:eastAsia="es-ES"/>
        </w:rPr>
        <w:t xml:space="preserve">ACCIÓN DE MEJORA </w:t>
      </w:r>
      <w:r w:rsidR="00056CB5">
        <w:rPr>
          <w:rFonts w:ascii="Arial" w:eastAsia="Times New Roman" w:hAnsi="Arial" w:cs="Arial"/>
          <w:b/>
          <w:sz w:val="24"/>
          <w:szCs w:val="24"/>
          <w:lang w:val="es-ES_tradnl" w:eastAsia="es-ES"/>
        </w:rPr>
        <w:t>5</w:t>
      </w:r>
      <w:r w:rsidRPr="007059C2">
        <w:rPr>
          <w:rFonts w:ascii="Arial" w:eastAsia="Times New Roman" w:hAnsi="Arial" w:cs="Arial"/>
          <w:b/>
          <w:sz w:val="24"/>
          <w:szCs w:val="24"/>
          <w:lang w:val="es-ES_tradnl" w:eastAsia="es-ES"/>
        </w:rPr>
        <w:t xml:space="preserve">: </w:t>
      </w:r>
      <w:r w:rsidR="0032267C" w:rsidRPr="007059C2">
        <w:rPr>
          <w:rFonts w:ascii="ArialMT" w:hAnsi="ArialMT" w:cs="ArialMT"/>
          <w:sz w:val="24"/>
          <w:szCs w:val="24"/>
          <w:lang w:val="es-ES_tradnl"/>
        </w:rPr>
        <w:t>Ampliación en el número de personal docente y de administración vinculado a la</w:t>
      </w:r>
      <w:r w:rsidR="002139FD" w:rsidRPr="007059C2">
        <w:rPr>
          <w:rFonts w:ascii="ArialMT" w:hAnsi="ArialMT" w:cs="ArialMT"/>
          <w:sz w:val="24"/>
          <w:szCs w:val="24"/>
          <w:lang w:val="es-ES_tradnl"/>
        </w:rPr>
        <w:t xml:space="preserve"> </w:t>
      </w:r>
      <w:r w:rsidR="0032267C" w:rsidRPr="007059C2">
        <w:rPr>
          <w:rFonts w:ascii="ArialMT" w:hAnsi="ArialMT" w:cs="ArialMT"/>
          <w:sz w:val="24"/>
          <w:szCs w:val="24"/>
          <w:lang w:val="es-ES_tradnl"/>
        </w:rPr>
        <w:t>Titulación.</w:t>
      </w:r>
    </w:p>
    <w:p w:rsidR="0039388A" w:rsidRPr="007059C2" w:rsidRDefault="0039388A" w:rsidP="002139FD">
      <w:pPr>
        <w:spacing w:line="360" w:lineRule="auto"/>
        <w:rPr>
          <w:rFonts w:ascii="Arial" w:eastAsia="Times New Roman" w:hAnsi="Arial" w:cs="Arial"/>
          <w:b/>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Pr="007059C2" w:rsidRDefault="0032267C" w:rsidP="002139FD">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Una vez implantada completamente la Titulación, se observa que el número de PDI y PAS del Centro</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vinculado al Título de Grado en Fisioterapia es escaso, lo que</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conduce a una sobrecarga de trabajo en el</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personal existente, pudiendo redundar en un deterioro en la calidad formativa.</w:t>
      </w:r>
    </w:p>
    <w:p w:rsidR="0039388A" w:rsidRPr="007059C2" w:rsidRDefault="0039388A"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32267C" w:rsidP="002139FD">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Presentación de esta demanda ante los órganos competentes en la ONCE,</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responsables de la toma de decisiones relacionadas con la contratación-traslado</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de personal en la Entidad.</w:t>
      </w:r>
    </w:p>
    <w:p w:rsidR="0039388A" w:rsidRPr="007059C2" w:rsidRDefault="0039388A" w:rsidP="002139FD">
      <w:pPr>
        <w:spacing w:line="360" w:lineRule="auto"/>
        <w:rPr>
          <w:rFonts w:ascii="Arial" w:eastAsia="Times New Roman" w:hAnsi="Arial" w:cs="Arial"/>
          <w:b/>
          <w:bCs/>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MT" w:hAnsi="ArialMT" w:cs="ArialMT"/>
          <w:sz w:val="24"/>
          <w:szCs w:val="24"/>
          <w:lang w:val="es-ES_tradnl"/>
        </w:rPr>
        <w:t>Director de la Escuela</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MT" w:hAnsi="ArialMT" w:cs="ArialMT"/>
          <w:sz w:val="24"/>
          <w:szCs w:val="24"/>
          <w:lang w:val="es-ES_tradnl"/>
        </w:rPr>
        <w:t>Comisión de Garantía</w:t>
      </w:r>
      <w:r w:rsidR="002139FD" w:rsidRPr="007059C2">
        <w:rPr>
          <w:rFonts w:ascii="ArialMT" w:hAnsi="ArialMT" w:cs="ArialMT"/>
          <w:sz w:val="24"/>
          <w:szCs w:val="24"/>
          <w:lang w:val="es-ES_tradnl"/>
        </w:rPr>
        <w:t xml:space="preserve"> </w:t>
      </w:r>
      <w:r w:rsidR="0032267C" w:rsidRPr="007059C2">
        <w:rPr>
          <w:rFonts w:ascii="ArialMT" w:hAnsi="ArialMT" w:cs="ArialMT"/>
          <w:sz w:val="24"/>
          <w:szCs w:val="24"/>
          <w:lang w:val="es-ES_tradnl"/>
        </w:rPr>
        <w:t>Interna de Calidad</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MT" w:hAnsi="ArialMT" w:cs="ArialMT"/>
          <w:sz w:val="24"/>
          <w:szCs w:val="24"/>
          <w:lang w:val="es-ES_tradnl"/>
        </w:rPr>
        <w:t>PDI, Estudiantes y PAS</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Nivel de Prioridad:</w:t>
      </w:r>
      <w:r w:rsidRPr="007059C2">
        <w:rPr>
          <w:rFonts w:ascii="Arial" w:eastAsia="Times New Roman" w:hAnsi="Arial" w:cs="Arial"/>
          <w:bCs/>
          <w:sz w:val="24"/>
          <w:szCs w:val="24"/>
          <w:lang w:val="es-ES_tradnl" w:eastAsia="es-ES"/>
        </w:rPr>
        <w:t xml:space="preserve">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32267C" w:rsidRPr="007059C2">
        <w:rPr>
          <w:rFonts w:ascii="Arial" w:eastAsia="Times New Roman" w:hAnsi="Arial" w:cs="Arial"/>
          <w:b/>
          <w:bCs/>
          <w:sz w:val="24"/>
          <w:szCs w:val="24"/>
          <w:lang w:val="es-ES_tradnl" w:eastAsia="es-ES"/>
        </w:rPr>
        <w:t xml:space="preserve"> </w:t>
      </w:r>
      <w:r w:rsidR="0032267C" w:rsidRPr="007059C2">
        <w:rPr>
          <w:rFonts w:ascii="Arial" w:eastAsia="Times New Roman" w:hAnsi="Arial" w:cs="Arial"/>
          <w:bCs/>
          <w:sz w:val="24"/>
          <w:szCs w:val="24"/>
          <w:lang w:val="es-ES_tradnl" w:eastAsia="es-ES"/>
        </w:rPr>
        <w:t>Medio</w:t>
      </w:r>
      <w:r w:rsidR="002139FD" w:rsidRPr="007059C2">
        <w:rPr>
          <w:rFonts w:ascii="Arial" w:eastAsia="Times New Roman" w:hAnsi="Arial" w:cs="Arial"/>
          <w:bCs/>
          <w:sz w:val="24"/>
          <w:szCs w:val="24"/>
          <w:lang w:val="es-ES_tradnl" w:eastAsia="es-ES"/>
        </w:rPr>
        <w:t>.</w:t>
      </w:r>
    </w:p>
    <w:p w:rsidR="002139FD" w:rsidRPr="007059C2" w:rsidRDefault="002139FD"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2139FD" w:rsidRPr="007059C2" w:rsidRDefault="004B4ACF" w:rsidP="002139FD">
      <w:pPr>
        <w:autoSpaceDE w:val="0"/>
        <w:autoSpaceDN w:val="0"/>
        <w:adjustRightInd w:val="0"/>
        <w:spacing w:line="360" w:lineRule="auto"/>
        <w:jc w:val="both"/>
        <w:rPr>
          <w:rFonts w:ascii="ArialMT" w:hAnsi="ArialMT" w:cs="ArialMT"/>
          <w:sz w:val="24"/>
          <w:szCs w:val="24"/>
          <w:lang w:val="es-ES_tradnl"/>
        </w:rPr>
      </w:pPr>
      <w:r>
        <w:rPr>
          <w:rFonts w:ascii="ArialMT" w:hAnsi="ArialMT" w:cs="ArialMT"/>
          <w:sz w:val="24"/>
          <w:szCs w:val="24"/>
          <w:lang w:val="es-ES_tradnl"/>
        </w:rPr>
        <w:t xml:space="preserve">El </w:t>
      </w:r>
      <w:r w:rsidR="002139FD" w:rsidRPr="007059C2">
        <w:rPr>
          <w:rFonts w:ascii="ArialMT" w:hAnsi="ArialMT" w:cs="ArialMT"/>
          <w:sz w:val="24"/>
          <w:szCs w:val="24"/>
          <w:lang w:val="es-ES_tradnl"/>
        </w:rPr>
        <w:t>Director cursará nuevamente la solicitud una vez aprobado este Plan de Acciones de Mejora, pero no se establece un plazo para la resolución, puesto que la decisión final es ajena al Centro.</w:t>
      </w:r>
    </w:p>
    <w:p w:rsidR="0039388A" w:rsidRPr="007059C2" w:rsidRDefault="0039388A" w:rsidP="002139FD">
      <w:pPr>
        <w:spacing w:line="360" w:lineRule="auto"/>
        <w:rPr>
          <w:rFonts w:ascii="Arial" w:eastAsia="Times New Roman" w:hAnsi="Arial" w:cs="Arial"/>
          <w:sz w:val="24"/>
          <w:szCs w:val="24"/>
          <w:lang w:val="es-ES_tradnl" w:eastAsia="es-ES"/>
        </w:rPr>
      </w:pPr>
    </w:p>
    <w:p w:rsidR="002139FD"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Indicadores de control: </w:t>
      </w:r>
      <w:r w:rsidR="002139FD" w:rsidRPr="007059C2">
        <w:rPr>
          <w:rFonts w:ascii="ArialMT" w:hAnsi="ArialMT" w:cs="ArialMT"/>
          <w:sz w:val="24"/>
          <w:szCs w:val="24"/>
          <w:lang w:val="es-ES_tradnl"/>
        </w:rPr>
        <w:t>Indicadores del área de Recursos Humanos.</w:t>
      </w:r>
    </w:p>
    <w:p w:rsidR="002139FD" w:rsidRPr="007059C2" w:rsidRDefault="002139FD"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002139FD" w:rsidRPr="007059C2">
        <w:rPr>
          <w:rFonts w:ascii="Arial" w:eastAsia="Times New Roman" w:hAnsi="Arial" w:cs="Arial"/>
          <w:b/>
          <w:bCs/>
          <w:sz w:val="24"/>
          <w:szCs w:val="24"/>
          <w:lang w:val="es-ES_tradnl" w:eastAsia="es-ES"/>
        </w:rPr>
        <w:t xml:space="preserve"> </w:t>
      </w:r>
      <w:r w:rsidR="002139FD" w:rsidRPr="007059C2">
        <w:rPr>
          <w:rFonts w:ascii="Arial" w:eastAsia="Times New Roman" w:hAnsi="Arial" w:cs="Arial"/>
          <w:bCs/>
          <w:sz w:val="24"/>
          <w:szCs w:val="24"/>
          <w:lang w:val="es-ES_tradnl" w:eastAsia="es-ES"/>
        </w:rPr>
        <w:t>Anual.</w:t>
      </w:r>
    </w:p>
    <w:sectPr w:rsidR="0039388A" w:rsidRPr="007059C2" w:rsidSect="00833B8F">
      <w:pgSz w:w="11918" w:h="16854"/>
      <w:pgMar w:top="1418" w:right="1418" w:bottom="1418" w:left="1418"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40D2"/>
    <w:multiLevelType w:val="hybridMultilevel"/>
    <w:tmpl w:val="072C9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1F4E40"/>
    <w:multiLevelType w:val="hybridMultilevel"/>
    <w:tmpl w:val="59965E74"/>
    <w:lvl w:ilvl="0" w:tplc="36A83AD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EA35CC"/>
    <w:multiLevelType w:val="multilevel"/>
    <w:tmpl w:val="BD945890"/>
    <w:lvl w:ilvl="0">
      <w:start w:val="1"/>
      <w:numFmt w:val="decimal"/>
      <w:lvlText w:val="%1."/>
      <w:lvlJc w:val="left"/>
      <w:pPr>
        <w:tabs>
          <w:tab w:val="num" w:pos="288"/>
        </w:tabs>
        <w:ind w:left="720" w:firstLine="0"/>
      </w:pPr>
      <w:rPr>
        <w:rFonts w:ascii="Arial" w:hAnsi="Arial" w:hint="default"/>
        <w:b w:val="0"/>
        <w:strike w:val="0"/>
        <w:color w:val="000000"/>
        <w:spacing w:val="6"/>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5767FEB"/>
    <w:multiLevelType w:val="hybridMultilevel"/>
    <w:tmpl w:val="6E203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C24444"/>
    <w:multiLevelType w:val="hybridMultilevel"/>
    <w:tmpl w:val="706EA2D4"/>
    <w:lvl w:ilvl="0" w:tplc="82B250E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5">
    <w:nsid w:val="1B693C3E"/>
    <w:multiLevelType w:val="hybridMultilevel"/>
    <w:tmpl w:val="CB34F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AA7F60"/>
    <w:multiLevelType w:val="hybridMultilevel"/>
    <w:tmpl w:val="96AE1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A16765"/>
    <w:multiLevelType w:val="hybridMultilevel"/>
    <w:tmpl w:val="8BE65FB4"/>
    <w:lvl w:ilvl="0" w:tplc="82B250E4">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9277EDA"/>
    <w:multiLevelType w:val="hybridMultilevel"/>
    <w:tmpl w:val="8040A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53082E"/>
    <w:multiLevelType w:val="hybridMultilevel"/>
    <w:tmpl w:val="FA38D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F04F59"/>
    <w:multiLevelType w:val="hybridMultilevel"/>
    <w:tmpl w:val="EA6EFB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A50826"/>
    <w:multiLevelType w:val="multilevel"/>
    <w:tmpl w:val="1E422A76"/>
    <w:lvl w:ilvl="0">
      <w:start w:val="1"/>
      <w:numFmt w:val="decimal"/>
      <w:lvlText w:val="%1."/>
      <w:lvlJc w:val="left"/>
      <w:pPr>
        <w:tabs>
          <w:tab w:val="decimal" w:pos="-290"/>
        </w:tabs>
        <w:ind w:left="142"/>
      </w:pPr>
      <w:rPr>
        <w:rFonts w:ascii="Arial" w:hAnsi="Arial"/>
        <w:b w:val="0"/>
        <w:strike w:val="0"/>
        <w:color w:val="000000"/>
        <w:spacing w:val="6"/>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8E5DBE"/>
    <w:multiLevelType w:val="multilevel"/>
    <w:tmpl w:val="A418A608"/>
    <w:lvl w:ilvl="0">
      <w:start w:val="1"/>
      <w:numFmt w:val="decimal"/>
      <w:lvlText w:val="%1."/>
      <w:lvlJc w:val="left"/>
      <w:pPr>
        <w:tabs>
          <w:tab w:val="decimal" w:pos="288"/>
        </w:tabs>
        <w:ind w:left="720"/>
      </w:pPr>
      <w:rPr>
        <w:rFonts w:ascii="Arial" w:hAnsi="Arial"/>
        <w:b w:val="0"/>
        <w:strike w:val="0"/>
        <w:color w:val="000000"/>
        <w:spacing w:val="6"/>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0F14E8"/>
    <w:multiLevelType w:val="multilevel"/>
    <w:tmpl w:val="8654B034"/>
    <w:lvl w:ilvl="0">
      <w:start w:val="4"/>
      <w:numFmt w:val="decimal"/>
      <w:lvlText w:val="%1."/>
      <w:lvlJc w:val="left"/>
      <w:pPr>
        <w:tabs>
          <w:tab w:val="decimal" w:pos="288"/>
        </w:tabs>
        <w:ind w:left="720"/>
      </w:pPr>
      <w:rPr>
        <w:rFonts w:ascii="Arial" w:hAnsi="Arial"/>
        <w:strike w:val="0"/>
        <w:color w:val="000000"/>
        <w:spacing w:val="-19"/>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61057C"/>
    <w:multiLevelType w:val="hybridMultilevel"/>
    <w:tmpl w:val="14D8FE0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9C8676D"/>
    <w:multiLevelType w:val="hybridMultilevel"/>
    <w:tmpl w:val="40103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A7108C"/>
    <w:multiLevelType w:val="multilevel"/>
    <w:tmpl w:val="F198189A"/>
    <w:lvl w:ilvl="0">
      <w:start w:val="1"/>
      <w:numFmt w:val="decimal"/>
      <w:lvlText w:val="%1."/>
      <w:lvlJc w:val="left"/>
      <w:pPr>
        <w:tabs>
          <w:tab w:val="num" w:pos="288"/>
        </w:tabs>
        <w:ind w:left="720" w:firstLine="0"/>
      </w:pPr>
      <w:rPr>
        <w:rFonts w:ascii="Arial" w:hAnsi="Arial" w:hint="default"/>
        <w:b/>
        <w:strike w:val="0"/>
        <w:color w:val="000000"/>
        <w:spacing w:val="6"/>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4DD1932"/>
    <w:multiLevelType w:val="hybridMultilevel"/>
    <w:tmpl w:val="725CC6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7FEB39B9"/>
    <w:multiLevelType w:val="hybridMultilevel"/>
    <w:tmpl w:val="41249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2"/>
  </w:num>
  <w:num w:numId="5">
    <w:abstractNumId w:val="16"/>
  </w:num>
  <w:num w:numId="6">
    <w:abstractNumId w:val="0"/>
  </w:num>
  <w:num w:numId="7">
    <w:abstractNumId w:val="6"/>
  </w:num>
  <w:num w:numId="8">
    <w:abstractNumId w:val="8"/>
  </w:num>
  <w:num w:numId="9">
    <w:abstractNumId w:val="14"/>
  </w:num>
  <w:num w:numId="10">
    <w:abstractNumId w:val="7"/>
  </w:num>
  <w:num w:numId="11">
    <w:abstractNumId w:val="4"/>
  </w:num>
  <w:num w:numId="12">
    <w:abstractNumId w:val="1"/>
  </w:num>
  <w:num w:numId="13">
    <w:abstractNumId w:val="3"/>
  </w:num>
  <w:num w:numId="14">
    <w:abstractNumId w:val="5"/>
  </w:num>
  <w:num w:numId="15">
    <w:abstractNumId w:val="9"/>
  </w:num>
  <w:num w:numId="16">
    <w:abstractNumId w:val="15"/>
  </w:num>
  <w:num w:numId="17">
    <w:abstractNumId w:val="18"/>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compat>
    <w:useFELayout/>
  </w:compat>
  <w:rsids>
    <w:rsidRoot w:val="00172A44"/>
    <w:rsid w:val="00046EC0"/>
    <w:rsid w:val="00056CB5"/>
    <w:rsid w:val="00074F11"/>
    <w:rsid w:val="00086686"/>
    <w:rsid w:val="00172A44"/>
    <w:rsid w:val="001F41BC"/>
    <w:rsid w:val="002139FD"/>
    <w:rsid w:val="0032267C"/>
    <w:rsid w:val="0039388A"/>
    <w:rsid w:val="00447B7C"/>
    <w:rsid w:val="004B4ACF"/>
    <w:rsid w:val="005A350E"/>
    <w:rsid w:val="006A5B99"/>
    <w:rsid w:val="007059C2"/>
    <w:rsid w:val="00777212"/>
    <w:rsid w:val="0079315B"/>
    <w:rsid w:val="00833B8F"/>
    <w:rsid w:val="008D5D84"/>
    <w:rsid w:val="00A20F25"/>
    <w:rsid w:val="00B75C1E"/>
    <w:rsid w:val="00B87E5D"/>
    <w:rsid w:val="00C648DD"/>
    <w:rsid w:val="00C85211"/>
    <w:rsid w:val="00CA5CEC"/>
    <w:rsid w:val="00DD2984"/>
    <w:rsid w:val="00DE1D1B"/>
    <w:rsid w:val="00DF52D6"/>
    <w:rsid w:val="00FC46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7E5D"/>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E5D"/>
    <w:rPr>
      <w:rFonts w:ascii="Tahoma" w:hAnsi="Tahoma" w:cs="Tahoma"/>
      <w:sz w:val="16"/>
      <w:szCs w:val="16"/>
    </w:rPr>
  </w:style>
  <w:style w:type="paragraph" w:styleId="Prrafodelista">
    <w:name w:val="List Paragraph"/>
    <w:basedOn w:val="Normal"/>
    <w:uiPriority w:val="34"/>
    <w:qFormat/>
    <w:rsid w:val="00A20F25"/>
    <w:pPr>
      <w:ind w:left="720"/>
      <w:contextualSpacing/>
    </w:pPr>
  </w:style>
  <w:style w:type="table" w:styleId="Tablaconcuadrcula">
    <w:name w:val="Table Grid"/>
    <w:basedOn w:val="Tablanormal"/>
    <w:uiPriority w:val="59"/>
    <w:rsid w:val="00046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Valero García, José Luis</dc:creator>
  <cp:lastModifiedBy>ONCE</cp:lastModifiedBy>
  <cp:revision>6</cp:revision>
  <dcterms:created xsi:type="dcterms:W3CDTF">2015-04-13T09:24:00Z</dcterms:created>
  <dcterms:modified xsi:type="dcterms:W3CDTF">2015-06-11T11:30:00Z</dcterms:modified>
</cp:coreProperties>
</file>