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99" w:rsidRPr="00A0631B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576705" cy="525780"/>
            <wp:effectExtent l="19050" t="0" r="444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99" w:rsidRPr="00A0631B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A0631B" w:rsidRDefault="00AB6899" w:rsidP="00AB689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0631B">
        <w:rPr>
          <w:rFonts w:ascii="Arial" w:hAnsi="Arial" w:cs="Arial"/>
          <w:b/>
          <w:color w:val="000000"/>
        </w:rPr>
        <w:t>Seguimiento de Títulos Oficiales</w:t>
      </w:r>
    </w:p>
    <w:p w:rsidR="00AB6899" w:rsidRPr="00A0631B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A0631B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A0631B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A0631B" w:rsidRDefault="00C82D08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Escuela </w:t>
      </w:r>
      <w:r w:rsidR="00AB6899" w:rsidRPr="00A0631B">
        <w:rPr>
          <w:rFonts w:ascii="Arial" w:hAnsi="Arial" w:cs="Arial"/>
          <w:b/>
          <w:bCs/>
          <w:color w:val="000000"/>
          <w:sz w:val="28"/>
          <w:szCs w:val="28"/>
        </w:rPr>
        <w:t>Universitaria de Fisioterapia de la ONCE</w:t>
      </w:r>
    </w:p>
    <w:p w:rsidR="00AB6899" w:rsidRPr="00A0631B" w:rsidRDefault="008F2752" w:rsidP="008F2752">
      <w:pPr>
        <w:autoSpaceDE w:val="0"/>
        <w:autoSpaceDN w:val="0"/>
        <w:adjustRightInd w:val="0"/>
        <w:spacing w:line="360" w:lineRule="auto"/>
        <w:ind w:left="-567" w:right="-56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0631B">
        <w:rPr>
          <w:rFonts w:ascii="Arial" w:hAnsi="Arial" w:cs="Arial"/>
          <w:b/>
          <w:bCs/>
          <w:color w:val="000000"/>
          <w:sz w:val="28"/>
          <w:szCs w:val="28"/>
        </w:rPr>
        <w:t xml:space="preserve">Máster Universitario en Fisioterapia </w:t>
      </w:r>
      <w:r w:rsidR="00126552" w:rsidRPr="00A0631B">
        <w:rPr>
          <w:rFonts w:ascii="Arial" w:hAnsi="Arial" w:cs="Arial"/>
          <w:b/>
          <w:bCs/>
          <w:color w:val="000000"/>
          <w:sz w:val="28"/>
          <w:szCs w:val="28"/>
        </w:rPr>
        <w:t>Respiratoria y Cardiaca</w:t>
      </w:r>
    </w:p>
    <w:p w:rsidR="008F2752" w:rsidRPr="00A0631B" w:rsidRDefault="008F2752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A0631B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0631B">
        <w:rPr>
          <w:rFonts w:ascii="Arial" w:hAnsi="Arial" w:cs="Arial"/>
          <w:b/>
          <w:bCs/>
          <w:color w:val="000000"/>
          <w:sz w:val="28"/>
          <w:szCs w:val="28"/>
        </w:rPr>
        <w:t>9. Sistema de Garantía Interna de Calidad</w:t>
      </w:r>
    </w:p>
    <w:p w:rsidR="00AB6899" w:rsidRPr="00A0631B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B6899" w:rsidRPr="00A0631B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0631B">
        <w:rPr>
          <w:rFonts w:ascii="Arial" w:hAnsi="Arial" w:cs="Arial"/>
          <w:b/>
          <w:bCs/>
          <w:color w:val="000000"/>
          <w:sz w:val="28"/>
          <w:szCs w:val="28"/>
        </w:rPr>
        <w:t>Informe Anual de Seguimiento 2015/16</w:t>
      </w:r>
    </w:p>
    <w:p w:rsidR="00AB6899" w:rsidRPr="00A0631B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A0631B" w:rsidRDefault="00AB6899" w:rsidP="00AB6899">
      <w:pPr>
        <w:jc w:val="center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671320" cy="851535"/>
            <wp:effectExtent l="19050" t="0" r="508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31B">
        <w:rPr>
          <w:rFonts w:ascii="Arial" w:hAnsi="Arial" w:cs="Arial"/>
          <w:b/>
          <w:bCs/>
          <w:color w:val="000000"/>
        </w:rPr>
        <w:br w:type="page"/>
      </w:r>
    </w:p>
    <w:p w:rsidR="00AB6899" w:rsidRPr="00A0631B" w:rsidRDefault="00AB6899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A0631B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Í</w:t>
      </w:r>
      <w:r w:rsidR="00F9625D" w:rsidRPr="00A0631B">
        <w:rPr>
          <w:rFonts w:ascii="Arial" w:hAnsi="Arial" w:cs="Arial"/>
          <w:b/>
          <w:bCs/>
          <w:color w:val="000000"/>
        </w:rPr>
        <w:t>ndice de contenidos</w:t>
      </w:r>
    </w:p>
    <w:p w:rsidR="00F9625D" w:rsidRPr="00A0631B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 xml:space="preserve"> </w:t>
      </w:r>
    </w:p>
    <w:p w:rsidR="00F9625D" w:rsidRPr="00A0631B" w:rsidRDefault="00F9625D" w:rsidP="00E5083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Objeto</w:t>
      </w:r>
    </w:p>
    <w:p w:rsidR="00F9625D" w:rsidRPr="00A0631B" w:rsidRDefault="00F9625D" w:rsidP="00E5083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Alcance</w:t>
      </w:r>
    </w:p>
    <w:p w:rsidR="00F9625D" w:rsidRPr="00A0631B" w:rsidRDefault="00F9625D" w:rsidP="00E5083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Seguimiento de recomendaciones y plan de mejora</w:t>
      </w:r>
    </w:p>
    <w:p w:rsidR="00F9625D" w:rsidRPr="00A0631B" w:rsidRDefault="00F9625D" w:rsidP="00E5083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Resumen de actividades realizadas</w:t>
      </w:r>
    </w:p>
    <w:p w:rsidR="00F9625D" w:rsidRPr="00A0631B" w:rsidRDefault="00F9625D" w:rsidP="00E5083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Análisis cuantitativo y cualitativo de la evolución de los indicadores asociados al seguimiento del título</w:t>
      </w:r>
    </w:p>
    <w:p w:rsidR="00F9625D" w:rsidRPr="00A0631B" w:rsidRDefault="00F9625D" w:rsidP="00E5083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Identificación de puntos fuertes y áreas de mejora</w:t>
      </w:r>
    </w:p>
    <w:p w:rsidR="00F9625D" w:rsidRPr="00A0631B" w:rsidRDefault="00F9625D" w:rsidP="00E5083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Conclusiones</w:t>
      </w:r>
    </w:p>
    <w:p w:rsidR="00F9625D" w:rsidRPr="00A0631B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 xml:space="preserve"> </w:t>
      </w:r>
    </w:p>
    <w:p w:rsidR="00F9625D" w:rsidRPr="00A0631B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Documentos asociados</w:t>
      </w:r>
      <w:r w:rsidR="0084335A" w:rsidRPr="00A0631B">
        <w:rPr>
          <w:rFonts w:ascii="Arial" w:hAnsi="Arial" w:cs="Arial"/>
          <w:color w:val="000000"/>
        </w:rPr>
        <w:t>:</w:t>
      </w:r>
    </w:p>
    <w:p w:rsidR="00126552" w:rsidRPr="00A0631B" w:rsidRDefault="00126552" w:rsidP="00E5083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 xml:space="preserve">Resolución de Verificación del Título. </w:t>
      </w:r>
    </w:p>
    <w:p w:rsidR="00126552" w:rsidRPr="00A0631B" w:rsidRDefault="00126552" w:rsidP="00E5083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 xml:space="preserve">Informe de reclamaciones/sugerencias 2015/16. </w:t>
      </w:r>
    </w:p>
    <w:p w:rsidR="00126552" w:rsidRPr="00A0631B" w:rsidRDefault="00126552" w:rsidP="00E5083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 xml:space="preserve">Informe de Formación Continua del Profesorado 2015/16. </w:t>
      </w:r>
    </w:p>
    <w:p w:rsidR="00126552" w:rsidRPr="00A0631B" w:rsidRDefault="00126552" w:rsidP="00E5083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 xml:space="preserve">Informe de Satisfacción de Prácticas por Centro 2015/16. </w:t>
      </w:r>
    </w:p>
    <w:p w:rsidR="00126552" w:rsidRPr="00A0631B" w:rsidRDefault="00126552" w:rsidP="00E5083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 xml:space="preserve">Informe de satisfacción del PAS 2015/16. </w:t>
      </w:r>
    </w:p>
    <w:p w:rsidR="0084335A" w:rsidRPr="00A0631B" w:rsidRDefault="00126552" w:rsidP="00E5083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Plan de Mejora 2015/16.</w:t>
      </w:r>
    </w:p>
    <w:p w:rsidR="00126552" w:rsidRPr="00A0631B" w:rsidRDefault="00126552" w:rsidP="00126552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126552" w:rsidRPr="00A0631B" w:rsidRDefault="00126552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126552" w:rsidRPr="00A0631B" w:rsidRDefault="0084335A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631B">
        <w:rPr>
          <w:rFonts w:ascii="Arial" w:hAnsi="Arial" w:cs="Arial"/>
        </w:rPr>
        <w:t>Elaborado por:</w:t>
      </w:r>
      <w:r w:rsidRPr="00A0631B">
        <w:rPr>
          <w:rFonts w:ascii="Arial" w:hAnsi="Arial" w:cs="Arial"/>
        </w:rPr>
        <w:tab/>
        <w:t>Comisión de Seguimiento del Título</w:t>
      </w:r>
      <w:r w:rsidR="00126552" w:rsidRPr="00A0631B">
        <w:rPr>
          <w:rFonts w:ascii="Arial" w:hAnsi="Arial" w:cs="Arial"/>
        </w:rPr>
        <w:t>.</w:t>
      </w:r>
    </w:p>
    <w:p w:rsidR="0084335A" w:rsidRPr="00A0631B" w:rsidRDefault="00126552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631B">
        <w:rPr>
          <w:rFonts w:ascii="Arial" w:hAnsi="Arial" w:cs="Arial"/>
        </w:rPr>
        <w:tab/>
      </w:r>
      <w:r w:rsidR="0084335A" w:rsidRPr="00A0631B">
        <w:rPr>
          <w:rFonts w:ascii="Arial" w:hAnsi="Arial" w:cs="Arial"/>
        </w:rPr>
        <w:t xml:space="preserve">Fecha: </w:t>
      </w:r>
      <w:r w:rsidRPr="00A0631B">
        <w:rPr>
          <w:rFonts w:ascii="Arial" w:hAnsi="Arial" w:cs="Arial"/>
        </w:rPr>
        <w:t>21/11</w:t>
      </w:r>
      <w:r w:rsidR="0084335A" w:rsidRPr="00A0631B">
        <w:rPr>
          <w:rFonts w:ascii="Arial" w:hAnsi="Arial" w:cs="Arial"/>
        </w:rPr>
        <w:t>/201</w:t>
      </w:r>
      <w:r w:rsidRPr="00A0631B">
        <w:rPr>
          <w:rFonts w:ascii="Arial" w:hAnsi="Arial" w:cs="Arial"/>
        </w:rPr>
        <w:t>6</w:t>
      </w:r>
    </w:p>
    <w:p w:rsidR="00126552" w:rsidRPr="00A0631B" w:rsidRDefault="0084335A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631B">
        <w:rPr>
          <w:rFonts w:ascii="Arial" w:hAnsi="Arial" w:cs="Arial"/>
        </w:rPr>
        <w:t>Revisado por:</w:t>
      </w:r>
      <w:r w:rsidRPr="00A0631B">
        <w:rPr>
          <w:rFonts w:ascii="Arial" w:hAnsi="Arial" w:cs="Arial"/>
        </w:rPr>
        <w:tab/>
        <w:t xml:space="preserve">Comisión de Garantía Interna de Calidad del Centro. </w:t>
      </w:r>
    </w:p>
    <w:p w:rsidR="0084335A" w:rsidRPr="00A0631B" w:rsidRDefault="00126552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631B">
        <w:rPr>
          <w:rFonts w:ascii="Arial" w:hAnsi="Arial" w:cs="Arial"/>
        </w:rPr>
        <w:tab/>
      </w:r>
      <w:r w:rsidR="0084335A" w:rsidRPr="00A0631B">
        <w:rPr>
          <w:rFonts w:ascii="Arial" w:hAnsi="Arial" w:cs="Arial"/>
        </w:rPr>
        <w:t>Fecha:</w:t>
      </w:r>
      <w:r w:rsidRPr="00A0631B">
        <w:rPr>
          <w:rFonts w:ascii="Arial" w:hAnsi="Arial" w:cs="Arial"/>
        </w:rPr>
        <w:t xml:space="preserve"> 15/03/2017</w:t>
      </w:r>
    </w:p>
    <w:p w:rsidR="00126552" w:rsidRPr="00A0631B" w:rsidRDefault="0084335A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631B">
        <w:rPr>
          <w:rFonts w:ascii="Arial" w:hAnsi="Arial" w:cs="Arial"/>
        </w:rPr>
        <w:t>Aprobado por:</w:t>
      </w:r>
      <w:r w:rsidRPr="00A0631B">
        <w:rPr>
          <w:rFonts w:ascii="Arial" w:hAnsi="Arial" w:cs="Arial"/>
        </w:rPr>
        <w:tab/>
        <w:t>Junta de Centro</w:t>
      </w:r>
      <w:r w:rsidR="00126552" w:rsidRPr="00A0631B">
        <w:rPr>
          <w:rFonts w:ascii="Arial" w:hAnsi="Arial" w:cs="Arial"/>
        </w:rPr>
        <w:t>.</w:t>
      </w:r>
    </w:p>
    <w:p w:rsidR="0084335A" w:rsidRPr="00A0631B" w:rsidRDefault="00126552" w:rsidP="0084335A">
      <w:pPr>
        <w:tabs>
          <w:tab w:val="left" w:pos="184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631B">
        <w:rPr>
          <w:rFonts w:ascii="Arial" w:hAnsi="Arial" w:cs="Arial"/>
        </w:rPr>
        <w:tab/>
      </w:r>
      <w:r w:rsidR="0084335A" w:rsidRPr="00A0631B">
        <w:rPr>
          <w:rFonts w:ascii="Arial" w:hAnsi="Arial" w:cs="Arial"/>
        </w:rPr>
        <w:t>Fecha:</w:t>
      </w:r>
      <w:r w:rsidR="00C82D08">
        <w:rPr>
          <w:rFonts w:ascii="Arial" w:hAnsi="Arial" w:cs="Arial"/>
        </w:rPr>
        <w:t xml:space="preserve"> 30/05/2017</w:t>
      </w:r>
    </w:p>
    <w:p w:rsidR="0084335A" w:rsidRPr="00A0631B" w:rsidRDefault="0084335A" w:rsidP="0084335A">
      <w:pPr>
        <w:tabs>
          <w:tab w:val="right" w:pos="2885"/>
          <w:tab w:val="left" w:pos="5770"/>
        </w:tabs>
        <w:spacing w:line="360" w:lineRule="auto"/>
        <w:rPr>
          <w:rFonts w:ascii="Arial" w:hAnsi="Arial" w:cs="Arial"/>
          <w:color w:val="000000"/>
        </w:rPr>
      </w:pPr>
    </w:p>
    <w:p w:rsidR="0084335A" w:rsidRPr="00A0631B" w:rsidRDefault="0084335A">
      <w:pPr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br w:type="page"/>
      </w: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lastRenderedPageBreak/>
        <w:t>1. Objeto</w:t>
      </w:r>
    </w:p>
    <w:p w:rsidR="00F9625D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El objeto de este documento es realizar un análisis y valoración del desarrollo y evolución de los estudios que dan origen al título de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Máster Universitario en Fisioterapia Respiratoria y Cardiaca y extraer conclusiones a partir de las cuales se elaborará un plan de mejora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orientado a subsanar las posibles deficiencias encontradas y a lograr los objetivos propuestos con estos estudios.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2. Alcance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Este documento contempla:</w:t>
      </w:r>
    </w:p>
    <w:p w:rsidR="00126552" w:rsidRPr="00270EF4" w:rsidRDefault="00126552" w:rsidP="00E5083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El seguimiento del plan de mejora propuesto en el informe anterior.</w:t>
      </w:r>
    </w:p>
    <w:p w:rsidR="00126552" w:rsidRPr="00270EF4" w:rsidRDefault="00270EF4" w:rsidP="00E5083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E</w:t>
      </w:r>
      <w:r w:rsidR="00126552" w:rsidRPr="00270EF4">
        <w:rPr>
          <w:rFonts w:ascii="Arial" w:hAnsi="Arial" w:cs="Arial"/>
          <w:color w:val="000000"/>
        </w:rPr>
        <w:t>l análisis cuantitativo y cualitativo de la evolución de los indicadores asociados al seguimiento del título.</w:t>
      </w:r>
    </w:p>
    <w:p w:rsidR="0084335A" w:rsidRPr="00270EF4" w:rsidRDefault="00126552" w:rsidP="00E5083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270EF4">
        <w:rPr>
          <w:rFonts w:ascii="Arial" w:hAnsi="Arial" w:cs="Arial"/>
          <w:color w:val="000000"/>
        </w:rPr>
        <w:t>La identificación de los puntos fuertes y áreas de mejora.</w:t>
      </w:r>
    </w:p>
    <w:p w:rsidR="0084335A" w:rsidRPr="00A0631B" w:rsidRDefault="0084335A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3. Seguimiento de recomendaciones y plan de mejora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El Máster en Fisioterapia Respiratoria y Cardiaca fue implantado en el curso 2015/16, por lo que no se cuenta con ningún Plan de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Mejora previo.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cuanto a las recomendaciones realizadas por ANECA en el proceso de Verificación del Título, sólo se incluyó la siguiente: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126552" w:rsidRPr="00270EF4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270EF4">
        <w:rPr>
          <w:rFonts w:ascii="Arial" w:hAnsi="Arial" w:cs="Arial"/>
          <w:b/>
          <w:bCs/>
          <w:iCs/>
          <w:color w:val="000000"/>
        </w:rPr>
        <w:t>RECOMENDACIONES</w:t>
      </w:r>
    </w:p>
    <w:p w:rsidR="00126552" w:rsidRPr="00270EF4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</w:rPr>
      </w:pPr>
      <w:r w:rsidRPr="00270EF4">
        <w:rPr>
          <w:rFonts w:ascii="Arial" w:hAnsi="Arial" w:cs="Arial"/>
          <w:iCs/>
          <w:color w:val="000000"/>
        </w:rPr>
        <w:t>CRITERIO 4: ACCESO Y ADMISIÓN DE ESTUDIANTES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270EF4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A0631B">
        <w:rPr>
          <w:rFonts w:ascii="Arial" w:hAnsi="Arial" w:cs="Arial"/>
          <w:i/>
          <w:iCs/>
          <w:color w:val="000000"/>
        </w:rPr>
        <w:t>Si bien se indica el perfil de ingreso recomendado para el acceso a la titulación y la</w:t>
      </w:r>
      <w:r w:rsidR="00270EF4">
        <w:rPr>
          <w:rFonts w:ascii="Arial" w:hAnsi="Arial" w:cs="Arial"/>
          <w:i/>
          <w:iCs/>
          <w:color w:val="000000"/>
        </w:rPr>
        <w:t xml:space="preserve"> </w:t>
      </w:r>
      <w:r w:rsidRPr="00A0631B">
        <w:rPr>
          <w:rFonts w:ascii="Arial" w:hAnsi="Arial" w:cs="Arial"/>
          <w:i/>
          <w:iCs/>
          <w:color w:val="000000"/>
        </w:rPr>
        <w:t>ponderación del expediente académico, respecto de la formación de postgrado relacionada con el tema del Máster y la experiencia</w:t>
      </w:r>
      <w:r w:rsidR="00270EF4">
        <w:rPr>
          <w:rFonts w:ascii="Arial" w:hAnsi="Arial" w:cs="Arial"/>
          <w:i/>
          <w:iCs/>
          <w:color w:val="000000"/>
        </w:rPr>
        <w:t xml:space="preserve"> </w:t>
      </w:r>
      <w:r w:rsidRPr="00A0631B">
        <w:rPr>
          <w:rFonts w:ascii="Arial" w:hAnsi="Arial" w:cs="Arial"/>
          <w:i/>
          <w:iCs/>
          <w:color w:val="000000"/>
        </w:rPr>
        <w:t>profesional acreditada no se indican los criterios que se tendrán en cuenta en el caso de que exista empate en la puntuación de varios</w:t>
      </w:r>
      <w:r w:rsidR="00E50833">
        <w:rPr>
          <w:rFonts w:ascii="Arial" w:hAnsi="Arial" w:cs="Arial"/>
          <w:i/>
          <w:iCs/>
          <w:color w:val="000000"/>
        </w:rPr>
        <w:t xml:space="preserve"> </w:t>
      </w:r>
      <w:r w:rsidRPr="00A0631B">
        <w:rPr>
          <w:rFonts w:ascii="Arial" w:hAnsi="Arial" w:cs="Arial"/>
          <w:i/>
          <w:iCs/>
          <w:color w:val="000000"/>
        </w:rPr>
        <w:t>aspirantes.</w:t>
      </w:r>
      <w:r w:rsidR="00270EF4">
        <w:rPr>
          <w:rFonts w:ascii="Arial" w:hAnsi="Arial" w:cs="Arial"/>
          <w:i/>
          <w:iCs/>
          <w:color w:val="000000"/>
        </w:rPr>
        <w:t xml:space="preserve"> 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Se recomienda subsanar este aspecto.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33"/>
        </w:rPr>
      </w:pP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333333"/>
        </w:rPr>
        <w:t>A pesar de que los criterios de selección de aspirantes en caso de empate en el proceso de baremación de méritos no se describieron en</w:t>
      </w:r>
      <w:r w:rsidR="00270EF4">
        <w:rPr>
          <w:rFonts w:ascii="Arial" w:hAnsi="Arial" w:cs="Arial"/>
          <w:color w:val="333333"/>
        </w:rPr>
        <w:t xml:space="preserve"> </w:t>
      </w:r>
      <w:r w:rsidRPr="00A0631B">
        <w:rPr>
          <w:rFonts w:ascii="Arial" w:hAnsi="Arial" w:cs="Arial"/>
          <w:color w:val="333333"/>
        </w:rPr>
        <w:t xml:space="preserve">la Memoria de </w:t>
      </w:r>
      <w:r w:rsidRPr="00A0631B">
        <w:rPr>
          <w:rFonts w:ascii="Arial" w:hAnsi="Arial" w:cs="Arial"/>
          <w:color w:val="333333"/>
        </w:rPr>
        <w:lastRenderedPageBreak/>
        <w:t>Verificación, sí se cuenta con unas directrices generales, recogidas en el documento de baremación que la Comisión de</w:t>
      </w:r>
      <w:r w:rsidR="00270EF4">
        <w:rPr>
          <w:rFonts w:ascii="Arial" w:hAnsi="Arial" w:cs="Arial"/>
          <w:color w:val="333333"/>
        </w:rPr>
        <w:t xml:space="preserve"> </w:t>
      </w:r>
      <w:r w:rsidRPr="00A0631B">
        <w:rPr>
          <w:rFonts w:ascii="Arial" w:hAnsi="Arial" w:cs="Arial"/>
          <w:color w:val="333333"/>
        </w:rPr>
        <w:t>Seguimiento del título emplea en el proceso de selección. Éstas se incluyen literalmente a continuación.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caso de empate en las puntuaciones de varios aspirantes, se tendrán en cuenta los siguientes criterios para decidir el orden de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acceso al Máster:</w:t>
      </w:r>
    </w:p>
    <w:p w:rsidR="00126552" w:rsidRPr="00270EF4" w:rsidRDefault="00126552" w:rsidP="00E5083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Experiencia profesional en el campo de la Fisioterapia Cardiorrespiratoria: se valorarán positivamente los expedientes que</w:t>
      </w:r>
      <w:r w:rsidR="00270EF4">
        <w:rPr>
          <w:rFonts w:ascii="Arial" w:hAnsi="Arial" w:cs="Arial"/>
          <w:color w:val="000000"/>
        </w:rPr>
        <w:t xml:space="preserve"> </w:t>
      </w:r>
      <w:r w:rsidRPr="00270EF4">
        <w:rPr>
          <w:rFonts w:ascii="Arial" w:hAnsi="Arial" w:cs="Arial"/>
          <w:color w:val="000000"/>
        </w:rPr>
        <w:t>certifiquen más de tres años de actividad laboral en este campo.</w:t>
      </w:r>
    </w:p>
    <w:p w:rsidR="00126552" w:rsidRPr="00270EF4" w:rsidRDefault="00126552" w:rsidP="00E5083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Formación específica de postgrado en el campo de la Fisioterapia Cardiorrespiratoria: se valorarán positivamente los</w:t>
      </w:r>
      <w:r w:rsidR="00270EF4">
        <w:rPr>
          <w:rFonts w:ascii="Arial" w:hAnsi="Arial" w:cs="Arial"/>
          <w:color w:val="000000"/>
        </w:rPr>
        <w:t xml:space="preserve"> </w:t>
      </w:r>
      <w:r w:rsidRPr="00270EF4">
        <w:rPr>
          <w:rFonts w:ascii="Arial" w:hAnsi="Arial" w:cs="Arial"/>
          <w:color w:val="000000"/>
        </w:rPr>
        <w:t>expedientes con más de 40  ECTS  de formación acreditada.</w:t>
      </w:r>
    </w:p>
    <w:p w:rsidR="0084335A" w:rsidRPr="00270EF4" w:rsidRDefault="00126552" w:rsidP="00E5083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270EF4">
        <w:rPr>
          <w:rFonts w:ascii="Arial" w:hAnsi="Arial" w:cs="Arial"/>
          <w:color w:val="000000"/>
        </w:rPr>
        <w:t>Fecha de preinscripción: en caso de empate, se otorgarán las plazas por orden riguroso de preinscripción.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4. Resumen de actividades realizadas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 xml:space="preserve">A continuación se describe un resumen de las actividades realizadas por los </w:t>
      </w:r>
      <w:r w:rsidR="00E50833" w:rsidRPr="00A0631B">
        <w:rPr>
          <w:rFonts w:ascii="Arial" w:hAnsi="Arial" w:cs="Arial"/>
          <w:color w:val="000000"/>
        </w:rPr>
        <w:t>distintos</w:t>
      </w:r>
      <w:r w:rsidRPr="00A0631B">
        <w:rPr>
          <w:rFonts w:ascii="Arial" w:hAnsi="Arial" w:cs="Arial"/>
          <w:color w:val="000000"/>
        </w:rPr>
        <w:t xml:space="preserve"> estamentos implicados en la coordinación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 xml:space="preserve">académica y el seguimiento del Título, durante </w:t>
      </w:r>
      <w:r w:rsidR="00E50833" w:rsidRPr="00A0631B">
        <w:rPr>
          <w:rFonts w:ascii="Arial" w:hAnsi="Arial" w:cs="Arial"/>
          <w:color w:val="000000"/>
        </w:rPr>
        <w:t>el</w:t>
      </w:r>
      <w:r w:rsidRPr="00A0631B">
        <w:rPr>
          <w:rFonts w:ascii="Arial" w:hAnsi="Arial" w:cs="Arial"/>
          <w:color w:val="000000"/>
        </w:rPr>
        <w:t xml:space="preserve"> curso 2015/16: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Comisión de Seguimiento del Título:</w:t>
      </w:r>
    </w:p>
    <w:p w:rsidR="00126552" w:rsidRPr="00270EF4" w:rsidRDefault="00E50833" w:rsidP="00E5083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Septiembre</w:t>
      </w:r>
      <w:r w:rsidR="00126552" w:rsidRPr="00270EF4">
        <w:rPr>
          <w:rFonts w:ascii="Arial" w:hAnsi="Arial" w:cs="Arial"/>
          <w:color w:val="000000"/>
        </w:rPr>
        <w:t xml:space="preserve"> 2015: Selección de estudiantes de nuevo ingreso en el tercer plazo de </w:t>
      </w:r>
      <w:r w:rsidRPr="00270EF4">
        <w:rPr>
          <w:rFonts w:ascii="Arial" w:hAnsi="Arial" w:cs="Arial"/>
          <w:color w:val="000000"/>
        </w:rPr>
        <w:t>preinscripción</w:t>
      </w:r>
      <w:r w:rsidR="00126552" w:rsidRPr="00270EF4">
        <w:rPr>
          <w:rFonts w:ascii="Arial" w:hAnsi="Arial" w:cs="Arial"/>
          <w:color w:val="000000"/>
        </w:rPr>
        <w:t xml:space="preserve"> (Acta 05/15).</w:t>
      </w:r>
    </w:p>
    <w:p w:rsidR="00126552" w:rsidRPr="00270EF4" w:rsidRDefault="00126552" w:rsidP="00E5083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Septiembre 2015: Resolución de solicitudes de reconocimiento de créditos para estudiantes matriculados en el tercer plazo de</w:t>
      </w:r>
      <w:r w:rsidR="00270EF4">
        <w:rPr>
          <w:rFonts w:ascii="Arial" w:hAnsi="Arial" w:cs="Arial"/>
          <w:color w:val="000000"/>
        </w:rPr>
        <w:t xml:space="preserve"> </w:t>
      </w:r>
      <w:r w:rsidRPr="00270EF4">
        <w:rPr>
          <w:rFonts w:ascii="Arial" w:hAnsi="Arial" w:cs="Arial"/>
          <w:color w:val="000000"/>
        </w:rPr>
        <w:t>matrícula para el curso 2015/16 (Acta 06/15).</w:t>
      </w:r>
    </w:p>
    <w:p w:rsidR="00126552" w:rsidRPr="00270EF4" w:rsidRDefault="00126552" w:rsidP="00E5083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Marzo-Abril 2016: Revisión de Guías Docentes para el curso 2016/17 (Acta 01/16 y Acta 02/16).</w:t>
      </w:r>
    </w:p>
    <w:p w:rsidR="00126552" w:rsidRPr="00270EF4" w:rsidRDefault="00126552" w:rsidP="00E5083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Junio 2016: Selección de estudiantes en primer período de preinscripción para el curso 2016*17 (Acta 03/16) y resolución de</w:t>
      </w:r>
      <w:r w:rsidR="00270EF4">
        <w:rPr>
          <w:rFonts w:ascii="Arial" w:hAnsi="Arial" w:cs="Arial"/>
          <w:color w:val="000000"/>
        </w:rPr>
        <w:t xml:space="preserve"> </w:t>
      </w:r>
      <w:r w:rsidRPr="00270EF4">
        <w:rPr>
          <w:rFonts w:ascii="Arial" w:hAnsi="Arial" w:cs="Arial"/>
          <w:color w:val="000000"/>
        </w:rPr>
        <w:t>solicitudes de reconocimiento de créditos presentadas en el primer plazo de matrícula (Acta 04/16).</w:t>
      </w:r>
    </w:p>
    <w:p w:rsidR="00126552" w:rsidRPr="00270EF4" w:rsidRDefault="00126552" w:rsidP="00E5083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lastRenderedPageBreak/>
        <w:t>Julio 2016: Reunión para analizar las asignaturas de Fisioterapia Respiratoria en el paciente crítico y neuromuscular y de</w:t>
      </w:r>
      <w:r w:rsidR="00270EF4">
        <w:rPr>
          <w:rFonts w:ascii="Arial" w:hAnsi="Arial" w:cs="Arial"/>
          <w:color w:val="000000"/>
        </w:rPr>
        <w:t xml:space="preserve"> </w:t>
      </w:r>
      <w:r w:rsidRPr="00270EF4">
        <w:rPr>
          <w:rFonts w:ascii="Arial" w:hAnsi="Arial" w:cs="Arial"/>
          <w:color w:val="000000"/>
        </w:rPr>
        <w:t>Rehabilitación Cardiopulmonar; renovación de los miembros de la Comisión; análisis de las prácticas clínicas (Acta 05/16).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Comisión de Garantía Interna de Calidad del Centro:</w:t>
      </w:r>
    </w:p>
    <w:p w:rsidR="00126552" w:rsidRPr="00270EF4" w:rsidRDefault="00126552" w:rsidP="00E5083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Organización y supervisión del proceso de encuestas de primer semestre y segundo semestre.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Junta de Centro: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 xml:space="preserve"> </w:t>
      </w:r>
    </w:p>
    <w:p w:rsidR="0084335A" w:rsidRPr="00270EF4" w:rsidRDefault="00126552" w:rsidP="00E5083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270EF4">
        <w:rPr>
          <w:rFonts w:ascii="Arial" w:hAnsi="Arial" w:cs="Arial"/>
          <w:color w:val="000000"/>
        </w:rPr>
        <w:t xml:space="preserve">Junio 2016: Aprobación de las Guías Docentes del </w:t>
      </w:r>
      <w:r w:rsidR="00E50833" w:rsidRPr="00270EF4">
        <w:rPr>
          <w:rFonts w:ascii="Arial" w:hAnsi="Arial" w:cs="Arial"/>
          <w:color w:val="000000"/>
        </w:rPr>
        <w:t>Título</w:t>
      </w:r>
      <w:r w:rsidRPr="00270EF4">
        <w:rPr>
          <w:rFonts w:ascii="Arial" w:hAnsi="Arial" w:cs="Arial"/>
          <w:color w:val="000000"/>
        </w:rPr>
        <w:t xml:space="preserve"> para el curso 2016/17 (Acta 03/16).</w:t>
      </w:r>
    </w:p>
    <w:p w:rsidR="0084335A" w:rsidRPr="00A0631B" w:rsidRDefault="0084335A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5. Análisis cuantitativo y cualitativo de la evolución de los indicadores</w:t>
      </w: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asociados al seguimiento del título</w:t>
      </w:r>
    </w:p>
    <w:p w:rsidR="0084335A" w:rsidRPr="00A0631B" w:rsidRDefault="0084335A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5.1. Acceso y admisión de estudiantes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Escuela Universitaria de Fisioterapia de la ONCE es un centro adscrito a la Universidad Autónoma de Madrid, según establece el</w:t>
      </w:r>
      <w:r w:rsidR="00E50833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Real Decreto 410/1986, de 10 de febrero (BOE de 26 de febrero de 1986) y el Convenio de Colaboración Académica celebrado entre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ambas instituciones. Esta Escuela está destinada a que ciegos y deficientes visuales afiliados a la ONCE cursen los estudios de Grado en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Fisioterapia. Además, organiza dos Másteres Universitarios y otros cursos de postgrado no oficiales, dirigidos a fisioterapeutas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afiliados y no afiliados a la ONCE. En este contexto se encuentra el Máster en Fisioterapia Respiratoria y Cardiaca.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el curso 2015/16, la oferta de plazas fue de 24, se recibieron 46 solicitudes de preinscripción y se admitieron a</w:t>
      </w:r>
      <w:r w:rsidR="00270EF4">
        <w:rPr>
          <w:rFonts w:ascii="Arial" w:hAnsi="Arial" w:cs="Arial"/>
          <w:color w:val="000000"/>
        </w:rPr>
        <w:t xml:space="preserve"> 36 alumnos. De e</w:t>
      </w:r>
      <w:r w:rsidRPr="00A0631B">
        <w:rPr>
          <w:rFonts w:ascii="Arial" w:hAnsi="Arial" w:cs="Arial"/>
          <w:color w:val="000000"/>
        </w:rPr>
        <w:t>stos,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24 eran de nuevo ingreso y 12 procedían del Título extinguido de Máster Propio en Fisioterapia Respiratoria y Cardiaca, quienes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 xml:space="preserve">solicitaron reconocimiento de los créditos </w:t>
      </w:r>
      <w:r w:rsidRPr="00A0631B">
        <w:rPr>
          <w:rFonts w:ascii="Arial" w:hAnsi="Arial" w:cs="Arial"/>
          <w:color w:val="000000"/>
        </w:rPr>
        <w:lastRenderedPageBreak/>
        <w:t>correspondientes a lo establecido en la Memoria de Verificación del título y cursaron las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asignaturas que les faltaban para completar la formación.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 xml:space="preserve">El 41.7% de todos los estudiantes </w:t>
      </w:r>
      <w:r w:rsidR="00E50833" w:rsidRPr="00A0631B">
        <w:rPr>
          <w:rFonts w:ascii="Arial" w:hAnsi="Arial" w:cs="Arial"/>
          <w:color w:val="000000"/>
        </w:rPr>
        <w:t>admitidos</w:t>
      </w:r>
      <w:r w:rsidRPr="00A0631B">
        <w:rPr>
          <w:rFonts w:ascii="Arial" w:hAnsi="Arial" w:cs="Arial"/>
          <w:color w:val="000000"/>
        </w:rPr>
        <w:t xml:space="preserve"> procedían de otras comunidades autónomas y un 8.3% eran extranjeros.</w:t>
      </w:r>
    </w:p>
    <w:p w:rsidR="00CE39CF" w:rsidRPr="00A0631B" w:rsidRDefault="00126552" w:rsidP="00A0631B">
      <w:pPr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La cobertura de plazas fue del 150% debido a la admisión adicional de estudiantes del Título extinguido.</w:t>
      </w:r>
    </w:p>
    <w:p w:rsidR="00270EF4" w:rsidRDefault="00270EF4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26552" w:rsidRPr="00A0631B" w:rsidRDefault="00126552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No se estima la necesidad de realizar acciones de mejora en relación a este área</w:t>
      </w:r>
    </w:p>
    <w:p w:rsidR="00270EF4" w:rsidRDefault="00270EF4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5.2. Desarrollo del programa formativo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el curso académico 2015/16 se desarrolló la primera edición del Máster en Fisioterapia Respiratoria y Cardiaca, siguiendo el Plan de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Estudios aprobado por la ANECA.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total, se matricularon 36 alumnos en la Titulación, el 44.4 % a tiempo completo y el 55,6% a tiempo parcial. Para una información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 xml:space="preserve">más detallada del número de alumnos matriculados por asignatura, consultar el Informe de Indicadores de Seguimiento. </w:t>
      </w:r>
    </w:p>
    <w:p w:rsidR="00CE39CF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color w:val="000000"/>
        </w:rPr>
        <w:t>Al finalizar el curso, en la reunión de la Comisión de Seguimiento del Título  celebrada el 6 de julio (Acta 05/16), se analiza el desarrollo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de cada asignatura en este primer año de implantación del Título. No ha habido incidencias y el rendimiento ha sido satisfactorio (ver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epígrafe 5.5.). No obstante, se acuerda incluir una Acción de Mejora para remodelar la asignatura de Fisioterapia Respiratoria en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paciente crítico y neuromuscular, con el fin de adaptar los contenidos al perfil competencial del fisioterapeuta que trabaja en el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entorno del paciente crítico, así como,  incluir en el equipo docente, profesores más vinculados al ámbito universitario.</w:t>
      </w:r>
    </w:p>
    <w:p w:rsidR="00CE39CF" w:rsidRPr="00A0631B" w:rsidRDefault="00CE39CF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5.3. Movilidad</w:t>
      </w:r>
    </w:p>
    <w:p w:rsidR="00CE39CF" w:rsidRPr="00A0631B" w:rsidRDefault="00126552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color w:val="000000"/>
        </w:rPr>
        <w:t xml:space="preserve">No se cuenta </w:t>
      </w:r>
      <w:r w:rsidR="00E50833" w:rsidRPr="00A0631B">
        <w:rPr>
          <w:rFonts w:ascii="Arial" w:hAnsi="Arial" w:cs="Arial"/>
          <w:color w:val="000000"/>
        </w:rPr>
        <w:t>con</w:t>
      </w:r>
      <w:r w:rsidR="00E50833">
        <w:rPr>
          <w:rFonts w:ascii="Arial" w:hAnsi="Arial" w:cs="Arial"/>
          <w:color w:val="000000"/>
        </w:rPr>
        <w:t xml:space="preserve"> </w:t>
      </w:r>
      <w:r w:rsidR="00E50833" w:rsidRPr="00A0631B">
        <w:rPr>
          <w:rFonts w:ascii="Arial" w:hAnsi="Arial" w:cs="Arial"/>
          <w:color w:val="000000"/>
        </w:rPr>
        <w:t>programas</w:t>
      </w:r>
      <w:r w:rsidRPr="00A0631B">
        <w:rPr>
          <w:rFonts w:ascii="Arial" w:hAnsi="Arial" w:cs="Arial"/>
          <w:color w:val="000000"/>
        </w:rPr>
        <w:t xml:space="preserve"> de movilidad vinculados al Título.</w:t>
      </w:r>
    </w:p>
    <w:p w:rsidR="00126552" w:rsidRPr="00A0631B" w:rsidRDefault="00126552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270EF4" w:rsidRDefault="00270EF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A0631B" w:rsidRDefault="00F9625D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lastRenderedPageBreak/>
        <w:t>5.4. Prácticas externas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Durante el curso 2015/16, los estudiantes realizaron prácticas clínicas curriculares en el contexto de la asignatura Practicum (9 ECTS)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en los siguientes centros:</w:t>
      </w:r>
    </w:p>
    <w:p w:rsidR="00126552" w:rsidRPr="00270EF4" w:rsidRDefault="00126552" w:rsidP="00E508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Rotación de hospitalización/UCI:</w:t>
      </w:r>
    </w:p>
    <w:p w:rsidR="00126552" w:rsidRPr="00270EF4" w:rsidRDefault="00126552" w:rsidP="00E5083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Hospital Universitario Puerta de Hierro (Madrid).</w:t>
      </w:r>
    </w:p>
    <w:p w:rsidR="00126552" w:rsidRPr="00270EF4" w:rsidRDefault="00126552" w:rsidP="00E508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Hospital Santa Caterina (Girona).</w:t>
      </w:r>
    </w:p>
    <w:p w:rsidR="00126552" w:rsidRPr="00270EF4" w:rsidRDefault="00126552" w:rsidP="00E5083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Hospital Universitario de Araba – Sede Txagorritsu (Vitoria).</w:t>
      </w:r>
    </w:p>
    <w:p w:rsidR="00126552" w:rsidRPr="00270EF4" w:rsidRDefault="00126552" w:rsidP="00E508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Rotación de Rehabilitación Pulmonar:</w:t>
      </w:r>
    </w:p>
    <w:p w:rsidR="00126552" w:rsidRPr="00270EF4" w:rsidRDefault="00126552" w:rsidP="00E5083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Hospital Universitario Dr. Negrín (Las Palmas de Gran Canaria).</w:t>
      </w:r>
    </w:p>
    <w:p w:rsidR="00126552" w:rsidRPr="00270EF4" w:rsidRDefault="00126552" w:rsidP="00E5083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Hospital Universitario Araba – Sede Santiago (Vitoria).</w:t>
      </w:r>
    </w:p>
    <w:p w:rsidR="00126552" w:rsidRPr="00270EF4" w:rsidRDefault="00126552" w:rsidP="00E508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Rotación de atención domiciliaria con la Empresa Grupo Air Liquide, S.L.</w:t>
      </w:r>
    </w:p>
    <w:p w:rsidR="00126552" w:rsidRPr="00270EF4" w:rsidRDefault="00126552" w:rsidP="00E508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Rotación de Fisioterapia Respiratoria en pediatría:</w:t>
      </w:r>
    </w:p>
    <w:p w:rsidR="00126552" w:rsidRPr="00270EF4" w:rsidRDefault="00126552" w:rsidP="00E5083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Grupo Fisio Respiración (Madrid).</w:t>
      </w:r>
    </w:p>
    <w:p w:rsidR="00126552" w:rsidRPr="00270EF4" w:rsidRDefault="00126552" w:rsidP="00E5083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Hospital Sant Joan de Déu (Barcelona).</w:t>
      </w:r>
    </w:p>
    <w:p w:rsidR="00126552" w:rsidRPr="00270EF4" w:rsidRDefault="00126552" w:rsidP="00E5083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Complejo Hospitalario Universitario Insular Materno-Infantil (Las Palmas de Gran Canaria).</w:t>
      </w:r>
    </w:p>
    <w:p w:rsidR="00126552" w:rsidRPr="00270EF4" w:rsidRDefault="00126552" w:rsidP="00E5083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Hospital Universitario La Paz (Madrid).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Las prácticas discurrieron con normalidad, sin incidencias ni hechos destacables. La satisfacción de los estudiantes con éstas, se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analiza en el apartado 5.8. de este Informe.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CE39CF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No obstante, la Comisión de Seguimiento del Máster, en su reunión de 06 de julio (Acta 05/16) consideró que sería recomendable</w:t>
      </w:r>
      <w:r w:rsidR="00270EF4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>aumentar la oferta de plazas en la rotación de Rehabilitación Pulmonar y</w:t>
      </w:r>
      <w:r w:rsidR="00270EF4">
        <w:rPr>
          <w:rFonts w:ascii="Arial" w:hAnsi="Arial" w:cs="Arial"/>
          <w:b/>
          <w:bCs/>
          <w:color w:val="000000"/>
        </w:rPr>
        <w:t>,</w:t>
      </w:r>
      <w:r w:rsidRPr="00A0631B">
        <w:rPr>
          <w:rFonts w:ascii="Arial" w:hAnsi="Arial" w:cs="Arial"/>
          <w:b/>
          <w:bCs/>
          <w:color w:val="000000"/>
        </w:rPr>
        <w:t xml:space="preserve"> así mismo, contar con centros en Madrid para esta</w:t>
      </w:r>
      <w:r w:rsidR="00270EF4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>rotación y la correspondiente a Rehabilitación Cardiaca. Se incluyen estos aspectos como Acciones de Mejora.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26552" w:rsidRPr="00A0631B" w:rsidRDefault="00126552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br w:type="page"/>
      </w: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lastRenderedPageBreak/>
        <w:t>5.5. Rendimiento académico</w:t>
      </w: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color w:val="000000"/>
        </w:rPr>
        <w:t>A</w:t>
      </w:r>
      <w:r w:rsidRPr="00A0631B">
        <w:rPr>
          <w:rFonts w:ascii="Arial" w:hAnsi="Arial" w:cs="Arial"/>
          <w:color w:val="000000"/>
        </w:rPr>
        <w:t xml:space="preserve">. </w:t>
      </w:r>
      <w:r w:rsidRPr="00A0631B">
        <w:rPr>
          <w:rFonts w:ascii="Arial" w:hAnsi="Arial" w:cs="Arial"/>
          <w:b/>
          <w:bCs/>
          <w:color w:val="000000"/>
        </w:rPr>
        <w:t>Datos globales.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relación al rendimiento académico global del Título:</w:t>
      </w:r>
    </w:p>
    <w:p w:rsidR="00126552" w:rsidRPr="00270EF4" w:rsidRDefault="00126552" w:rsidP="00E5083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 xml:space="preserve">La Tasa de Rendimiento de los estudiantes fue del 98,25%  Para mayor detalle sobre esta tasa diferenciada según estudiantes </w:t>
      </w:r>
      <w:r w:rsidR="00270EF4">
        <w:rPr>
          <w:rFonts w:ascii="Arial" w:hAnsi="Arial" w:cs="Arial"/>
          <w:color w:val="000000"/>
        </w:rPr>
        <w:t xml:space="preserve"> a </w:t>
      </w:r>
      <w:r w:rsidRPr="00270EF4">
        <w:rPr>
          <w:rFonts w:ascii="Arial" w:hAnsi="Arial" w:cs="Arial"/>
          <w:color w:val="000000"/>
        </w:rPr>
        <w:t>tiempo completo o parcial y de nuevo ingreso, ver resumen de indicadores.</w:t>
      </w:r>
    </w:p>
    <w:p w:rsidR="00126552" w:rsidRPr="00270EF4" w:rsidRDefault="00126552" w:rsidP="00E5083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La Tasa de Éxito fue del 99.1%.</w:t>
      </w:r>
    </w:p>
    <w:p w:rsidR="00126552" w:rsidRPr="00270EF4" w:rsidRDefault="00126552" w:rsidP="00E5083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 xml:space="preserve">La Tasa de Eficiencia fue del </w:t>
      </w:r>
      <w:r w:rsidR="00E30BD0">
        <w:rPr>
          <w:rFonts w:ascii="Arial" w:hAnsi="Arial" w:cs="Arial"/>
          <w:color w:val="000000" w:themeColor="text1"/>
        </w:rPr>
        <w:t>100%</w:t>
      </w:r>
      <w:r w:rsidRPr="00270EF4">
        <w:rPr>
          <w:rFonts w:ascii="Arial" w:hAnsi="Arial" w:cs="Arial"/>
          <w:color w:val="000000"/>
        </w:rPr>
        <w:t>.</w:t>
      </w:r>
    </w:p>
    <w:p w:rsidR="00126552" w:rsidRPr="00270EF4" w:rsidRDefault="00126552" w:rsidP="00E5083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Duración media de los estudios: 1,0.</w:t>
      </w:r>
    </w:p>
    <w:p w:rsidR="00126552" w:rsidRPr="00270EF4" w:rsidRDefault="00126552" w:rsidP="00E5083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 xml:space="preserve">Tasa de </w:t>
      </w:r>
      <w:r w:rsidR="00E50833" w:rsidRPr="00270EF4">
        <w:rPr>
          <w:rFonts w:ascii="Arial" w:hAnsi="Arial" w:cs="Arial"/>
          <w:color w:val="000000"/>
        </w:rPr>
        <w:t>Graduación:</w:t>
      </w:r>
      <w:r w:rsidR="00E50833">
        <w:rPr>
          <w:rFonts w:ascii="Arial" w:hAnsi="Arial" w:cs="Arial"/>
          <w:color w:val="000000"/>
        </w:rPr>
        <w:t xml:space="preserve"> </w:t>
      </w:r>
      <w:r w:rsidR="00E50833" w:rsidRPr="00270EF4">
        <w:rPr>
          <w:rFonts w:ascii="Arial" w:hAnsi="Arial" w:cs="Arial"/>
          <w:color w:val="000000"/>
        </w:rPr>
        <w:t>No</w:t>
      </w:r>
      <w:r w:rsidRPr="00270EF4">
        <w:rPr>
          <w:rFonts w:ascii="Arial" w:hAnsi="Arial" w:cs="Arial"/>
          <w:color w:val="000000"/>
        </w:rPr>
        <w:t xml:space="preserve"> disponible para el curso 2015/16.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Conclusiones.</w:t>
      </w:r>
    </w:p>
    <w:p w:rsidR="00CE39CF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A0631B">
        <w:rPr>
          <w:rFonts w:ascii="Arial" w:hAnsi="Arial" w:cs="Arial"/>
          <w:color w:val="000000"/>
        </w:rPr>
        <w:t>En general, la Comisión considera satisfactorios los resultados globales. Se evaluará la tendencia en cursos siguientes.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color w:val="000000"/>
        </w:rPr>
        <w:t>B</w:t>
      </w:r>
      <w:r w:rsidRPr="00A0631B">
        <w:rPr>
          <w:rFonts w:ascii="Arial" w:hAnsi="Arial" w:cs="Arial"/>
          <w:color w:val="000000"/>
        </w:rPr>
        <w:t xml:space="preserve">. </w:t>
      </w:r>
      <w:r w:rsidRPr="00A0631B">
        <w:rPr>
          <w:rFonts w:ascii="Arial" w:hAnsi="Arial" w:cs="Arial"/>
          <w:b/>
          <w:bCs/>
          <w:color w:val="000000"/>
        </w:rPr>
        <w:t>Análisis de rendimiento por asignatura.</w:t>
      </w:r>
    </w:p>
    <w:p w:rsidR="00F9625D" w:rsidRPr="00A0631B" w:rsidRDefault="00126552" w:rsidP="00270E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En cuanto al rendimiento académico por asignatura, se reflejan en este Informe, dos indicadores relevantes: Créditos superados sobre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matriculados por estudiante perteneciente al mismo plan de estudios que la asignatura (CS) y Nota media de la asignatura (N).</w:t>
      </w:r>
    </w:p>
    <w:p w:rsidR="00CE39CF" w:rsidRDefault="00126552" w:rsidP="00270E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Los datos correspondientes a cada asignatura para el curso 2015/16, se muestran en la siguiente tabla. Para obtener información más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detallada por asignatura, ver Informe de Indicadores de Seguimiento.</w:t>
      </w:r>
    </w:p>
    <w:p w:rsidR="00270EF4" w:rsidRPr="00A0631B" w:rsidRDefault="00270EF4" w:rsidP="00270E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7054"/>
        <w:gridCol w:w="851"/>
        <w:gridCol w:w="739"/>
      </w:tblGrid>
      <w:tr w:rsidR="00126552" w:rsidRPr="00A0631B" w:rsidTr="00A0631B">
        <w:tc>
          <w:tcPr>
            <w:tcW w:w="7054" w:type="dxa"/>
            <w:shd w:val="clear" w:color="auto" w:fill="D9D9D9" w:themeFill="background1" w:themeFillShade="D9"/>
            <w:vAlign w:val="center"/>
          </w:tcPr>
          <w:p w:rsidR="00126552" w:rsidRPr="00A0631B" w:rsidRDefault="00126552" w:rsidP="00A063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A063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26552" w:rsidRPr="00A0631B" w:rsidRDefault="00126552" w:rsidP="00A063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A063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CS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A063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N</w:t>
            </w:r>
          </w:p>
        </w:tc>
      </w:tr>
      <w:tr w:rsidR="00126552" w:rsidRPr="00A0631B" w:rsidTr="00A0631B">
        <w:tc>
          <w:tcPr>
            <w:tcW w:w="7054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Bases Teóricas y Fisiopatológicas de la Fisioterapia Cardiorrespiratoria</w:t>
            </w:r>
          </w:p>
        </w:tc>
        <w:tc>
          <w:tcPr>
            <w:tcW w:w="851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6,88</w:t>
            </w:r>
          </w:p>
        </w:tc>
      </w:tr>
      <w:tr w:rsidR="00126552" w:rsidRPr="00A0631B" w:rsidTr="00A0631B">
        <w:tc>
          <w:tcPr>
            <w:tcW w:w="7054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Fisioterapia Respiratoria en el paciente adulto</w:t>
            </w:r>
          </w:p>
        </w:tc>
        <w:tc>
          <w:tcPr>
            <w:tcW w:w="851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8,41</w:t>
            </w:r>
          </w:p>
        </w:tc>
      </w:tr>
      <w:tr w:rsidR="00126552" w:rsidRPr="00A0631B" w:rsidTr="00A0631B">
        <w:tc>
          <w:tcPr>
            <w:tcW w:w="7054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Fisioterapia Respiratoria en el paciente crítico y neuromuscular</w:t>
            </w:r>
          </w:p>
        </w:tc>
        <w:tc>
          <w:tcPr>
            <w:tcW w:w="851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6,35</w:t>
            </w:r>
          </w:p>
        </w:tc>
      </w:tr>
      <w:tr w:rsidR="00126552" w:rsidRPr="00A0631B" w:rsidTr="00A0631B">
        <w:tc>
          <w:tcPr>
            <w:tcW w:w="7054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Fisioterapia Respiratoria en pediatría</w:t>
            </w:r>
          </w:p>
        </w:tc>
        <w:tc>
          <w:tcPr>
            <w:tcW w:w="851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8,51</w:t>
            </w:r>
          </w:p>
        </w:tc>
      </w:tr>
      <w:tr w:rsidR="00126552" w:rsidRPr="00A0631B" w:rsidTr="00A0631B">
        <w:tc>
          <w:tcPr>
            <w:tcW w:w="7054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Herramientas de la Información aplicadas a las Ciencias de la Salud</w:t>
            </w:r>
          </w:p>
        </w:tc>
        <w:tc>
          <w:tcPr>
            <w:tcW w:w="851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9,15</w:t>
            </w:r>
          </w:p>
        </w:tc>
      </w:tr>
      <w:tr w:rsidR="00126552" w:rsidRPr="00A0631B" w:rsidTr="00A0631B">
        <w:tc>
          <w:tcPr>
            <w:tcW w:w="7054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Metodología de la Investigación en Fisioterapia</w:t>
            </w:r>
          </w:p>
        </w:tc>
        <w:tc>
          <w:tcPr>
            <w:tcW w:w="851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9,31</w:t>
            </w:r>
          </w:p>
        </w:tc>
      </w:tr>
      <w:tr w:rsidR="00126552" w:rsidRPr="00A0631B" w:rsidTr="00A0631B">
        <w:tc>
          <w:tcPr>
            <w:tcW w:w="7054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Practicum</w:t>
            </w:r>
          </w:p>
        </w:tc>
        <w:tc>
          <w:tcPr>
            <w:tcW w:w="851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6,96</w:t>
            </w:r>
          </w:p>
        </w:tc>
      </w:tr>
      <w:tr w:rsidR="00126552" w:rsidRPr="00A0631B" w:rsidTr="00A0631B">
        <w:tc>
          <w:tcPr>
            <w:tcW w:w="7054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Rehabilitación Cardiopulmonar</w:t>
            </w:r>
          </w:p>
        </w:tc>
        <w:tc>
          <w:tcPr>
            <w:tcW w:w="851" w:type="dxa"/>
            <w:vAlign w:val="center"/>
          </w:tcPr>
          <w:p w:rsidR="00126552" w:rsidRPr="00A0631B" w:rsidRDefault="00126552" w:rsidP="00A063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9" w:type="dxa"/>
            <w:vAlign w:val="center"/>
          </w:tcPr>
          <w:p w:rsidR="00126552" w:rsidRPr="00A0631B" w:rsidRDefault="00126552" w:rsidP="00A0631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8,43</w:t>
            </w:r>
          </w:p>
        </w:tc>
      </w:tr>
      <w:tr w:rsidR="00126552" w:rsidRPr="00A0631B" w:rsidTr="00A0631B">
        <w:tc>
          <w:tcPr>
            <w:tcW w:w="7054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Trabajo Fin de Máster</w:t>
            </w:r>
          </w:p>
        </w:tc>
        <w:tc>
          <w:tcPr>
            <w:tcW w:w="851" w:type="dxa"/>
            <w:vAlign w:val="center"/>
          </w:tcPr>
          <w:p w:rsidR="00126552" w:rsidRPr="00A0631B" w:rsidRDefault="00126552" w:rsidP="00A063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93,5%</w:t>
            </w:r>
          </w:p>
        </w:tc>
        <w:tc>
          <w:tcPr>
            <w:tcW w:w="739" w:type="dxa"/>
            <w:vAlign w:val="center"/>
          </w:tcPr>
          <w:p w:rsidR="00126552" w:rsidRPr="00A0631B" w:rsidRDefault="00126552" w:rsidP="00A0631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6,79</w:t>
            </w:r>
          </w:p>
        </w:tc>
      </w:tr>
    </w:tbl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lastRenderedPageBreak/>
        <w:t>Análisis de los resultados.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el análisis se evalúan específicamente tres aspectos:</w:t>
      </w:r>
    </w:p>
    <w:p w:rsidR="00126552" w:rsidRPr="00270EF4" w:rsidRDefault="00126552" w:rsidP="00E5083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El porcentaje de asignaturas con un indicador CS inferior al 50%.</w:t>
      </w:r>
    </w:p>
    <w:p w:rsidR="00126552" w:rsidRPr="00270EF4" w:rsidRDefault="00126552" w:rsidP="00E5083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El porcentaje de asignaturas con una nota media inferior a 6 puntos.</w:t>
      </w:r>
    </w:p>
    <w:p w:rsidR="00126552" w:rsidRPr="00270EF4" w:rsidRDefault="00126552" w:rsidP="00E5083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Las asignaturas que han reducido el indicador CS en más de un 20% con respecto al curso anterior (no aplicable en el presente</w:t>
      </w:r>
      <w:r w:rsidR="00270EF4">
        <w:rPr>
          <w:rFonts w:ascii="Arial" w:hAnsi="Arial" w:cs="Arial"/>
          <w:color w:val="000000"/>
        </w:rPr>
        <w:t xml:space="preserve"> </w:t>
      </w:r>
      <w:r w:rsidRPr="00270EF4">
        <w:rPr>
          <w:rFonts w:ascii="Arial" w:hAnsi="Arial" w:cs="Arial"/>
          <w:color w:val="000000"/>
        </w:rPr>
        <w:t>Informe).</w:t>
      </w:r>
    </w:p>
    <w:p w:rsidR="00126552" w:rsidRPr="00270EF4" w:rsidRDefault="00126552" w:rsidP="00E5083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Las asignaturas que han reducido su nota media en más de 2 puntos con respecto al curso anterior (no aplicable en el presente</w:t>
      </w:r>
      <w:r w:rsidR="00270EF4">
        <w:rPr>
          <w:rFonts w:ascii="Arial" w:hAnsi="Arial" w:cs="Arial"/>
          <w:color w:val="000000"/>
        </w:rPr>
        <w:t xml:space="preserve"> </w:t>
      </w:r>
      <w:r w:rsidRPr="00270EF4">
        <w:rPr>
          <w:rFonts w:ascii="Arial" w:hAnsi="Arial" w:cs="Arial"/>
          <w:color w:val="000000"/>
        </w:rPr>
        <w:t>Informe).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base a estos criterios, en el curso 2015/16 se observa lo siguiente:</w:t>
      </w:r>
    </w:p>
    <w:p w:rsidR="00126552" w:rsidRPr="00270EF4" w:rsidRDefault="00126552" w:rsidP="00E5083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El 100% de las asignaturas presentan un CS por encima del 50%</w:t>
      </w:r>
    </w:p>
    <w:p w:rsidR="00126552" w:rsidRPr="00270EF4" w:rsidRDefault="00126552" w:rsidP="00E5083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El 100% de las asignaturas presentan una nota media superior a 6 puntos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Conclusiones.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 xml:space="preserve"> La Comisión considera que los resultados de rendimiento académico por asignatura son muy satisfactorios</w:t>
      </w:r>
    </w:p>
    <w:p w:rsidR="00270EF4" w:rsidRDefault="00270EF4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E74B2F" w:rsidRPr="00A0631B" w:rsidRDefault="00126552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No se detecta la necesidad de emprender acciones de mejora en relación al rendimiento académico.</w:t>
      </w:r>
    </w:p>
    <w:p w:rsidR="00126552" w:rsidRPr="00A0631B" w:rsidRDefault="00126552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5.6. Abandono</w:t>
      </w:r>
    </w:p>
    <w:p w:rsidR="006A7410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color w:val="000000"/>
        </w:rPr>
        <w:t>No existen datos  sobre abandono para el curso 2015/16.</w:t>
      </w:r>
    </w:p>
    <w:p w:rsidR="00E74B2F" w:rsidRPr="00A0631B" w:rsidRDefault="00E74B2F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5.7. Inserción laboral</w:t>
      </w:r>
    </w:p>
    <w:p w:rsidR="00F9625D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No existen datos sobre inserción laboral para el curso 2015/16.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5.8. Satisfacción</w:t>
      </w: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A) Resultados de encuestas de valoración de la actividad docente.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Los miembros de la Comisión de Seguimiento del Título analizaron los datos estadísticos reportados por el Gabinete de Estudios y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 xml:space="preserve">Evaluación Institucional de la UAM. Tal y como estableció la comisión de Garantía Interna de Calidad </w:t>
      </w:r>
      <w:r w:rsidRPr="00A0631B">
        <w:rPr>
          <w:rFonts w:ascii="Arial" w:hAnsi="Arial" w:cs="Arial"/>
          <w:color w:val="000000"/>
        </w:rPr>
        <w:lastRenderedPageBreak/>
        <w:t>del Centro para todos los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Títulos (Acta 01/16), se utilizó 3.5 puntos como valor de corte de las medias de las puntuaciones, como criterio mínimo de calidad.</w:t>
      </w:r>
    </w:p>
    <w:p w:rsidR="00126552" w:rsidRPr="00A0631B" w:rsidRDefault="0012655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Además, las cuestiones con calificación por debajo del punto de corte se clasificaron en:</w:t>
      </w:r>
    </w:p>
    <w:p w:rsidR="00126552" w:rsidRPr="00270EF4" w:rsidRDefault="00126552" w:rsidP="00E5083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Preguntas con puntuación ligeramente baja: entre 3 y 3.49. Se informará a los implicados y se realizará un seguimiento de la</w:t>
      </w:r>
      <w:r w:rsidR="00270EF4">
        <w:rPr>
          <w:rFonts w:ascii="Arial" w:hAnsi="Arial" w:cs="Arial"/>
          <w:color w:val="000000"/>
        </w:rPr>
        <w:t xml:space="preserve"> </w:t>
      </w:r>
      <w:r w:rsidRPr="00270EF4">
        <w:rPr>
          <w:rFonts w:ascii="Arial" w:hAnsi="Arial" w:cs="Arial"/>
          <w:color w:val="000000"/>
        </w:rPr>
        <w:t>tendencia, pero no se efectuarán acciones de mejora específicas.</w:t>
      </w:r>
    </w:p>
    <w:p w:rsidR="00126552" w:rsidRPr="00270EF4" w:rsidRDefault="00126552" w:rsidP="00E5083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Preguntas con puntuación baja: por debajo de 3 puntos. Se evaluarán las posibles causas y si el dato se repite en al menos, dos</w:t>
      </w:r>
      <w:r w:rsidR="00270EF4">
        <w:rPr>
          <w:rFonts w:ascii="Arial" w:hAnsi="Arial" w:cs="Arial"/>
          <w:color w:val="000000"/>
        </w:rPr>
        <w:t xml:space="preserve"> </w:t>
      </w:r>
      <w:r w:rsidRPr="00270EF4">
        <w:rPr>
          <w:rFonts w:ascii="Arial" w:hAnsi="Arial" w:cs="Arial"/>
          <w:color w:val="000000"/>
        </w:rPr>
        <w:t>años consecutivos, se plantearán acciones de mejora.</w:t>
      </w:r>
    </w:p>
    <w:p w:rsidR="00126552" w:rsidRPr="00A0631B" w:rsidRDefault="00126552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A.1. Encuestas de estudiantes.</w:t>
      </w:r>
    </w:p>
    <w:p w:rsidR="006A7410" w:rsidRPr="00A0631B" w:rsidRDefault="006A741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A.1.1. Satisfacción con el Plan de Estudios.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cobertura ha sido baja (27.8%), por lo que las conclusiones que se derivan del análisis deben tratarse con precaución, ya que no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corresponden a la mayoría de los estudiantes matriculados.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Datos globales: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puntuación global obtenida es de 3.90, situándose por encima de la puntuación media de la UAM (3.57) y posicionándose como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séptimo Máster mejor valorado (7 de 68).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Se observa puntuación baja en:</w:t>
      </w:r>
    </w:p>
    <w:p w:rsidR="00A0631B" w:rsidRPr="00270EF4" w:rsidRDefault="00A0631B" w:rsidP="00E50833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Preguntas 11. 12  y 13 (referentes al Plan de Acción tutorial).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El Máster no cuenta con un Plan de Acción tutorial y así fue verificado, por lo que no se tienen en cuenta los resultados de estas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cuestiones.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Se observa puntuación ligeramente baja en:</w:t>
      </w:r>
    </w:p>
    <w:p w:rsidR="00A0631B" w:rsidRPr="00270EF4" w:rsidRDefault="00A0631B" w:rsidP="00E5083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Pregunta 3 (referente a la oferta de optatividad en el Título).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lastRenderedPageBreak/>
        <w:t>El Máster no ofrece asignaturas optativas, dado que se considera que el itinerario formativo que se aprobó en el actual Plan de Estudios</w:t>
      </w:r>
      <w:r w:rsidR="00270EF4">
        <w:rPr>
          <w:rFonts w:ascii="Arial" w:hAnsi="Arial" w:cs="Arial"/>
          <w:color w:val="000000"/>
        </w:rPr>
        <w:t xml:space="preserve">  </w:t>
      </w:r>
      <w:r w:rsidRPr="00A0631B">
        <w:rPr>
          <w:rFonts w:ascii="Arial" w:hAnsi="Arial" w:cs="Arial"/>
          <w:color w:val="000000"/>
        </w:rPr>
        <w:t>debe ser común para todos los estudiantes con el fin de adquirir las competencias específicas. Además, en el diseño del Plan de</w:t>
      </w:r>
      <w:r w:rsidR="00270EF4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Estudios, la Comisión de Implantación recibió recomendaciones de la UAM referentes a reducir o incluso evitar, la optatividad.</w:t>
      </w:r>
    </w:p>
    <w:p w:rsidR="007A1170" w:rsidRPr="00A0631B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0631B" w:rsidRPr="00270EF4" w:rsidRDefault="00A0631B" w:rsidP="00E5083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70EF4">
        <w:rPr>
          <w:rFonts w:ascii="Arial" w:hAnsi="Arial" w:cs="Arial"/>
          <w:color w:val="000000"/>
        </w:rPr>
        <w:t>Pregunta 5 (relativa a recursos tecnológicos).</w:t>
      </w:r>
    </w:p>
    <w:p w:rsidR="00A0631B" w:rsidRPr="00270EF4" w:rsidRDefault="00A0631B" w:rsidP="00E5083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70EF4">
        <w:rPr>
          <w:rFonts w:ascii="Arial" w:hAnsi="Arial" w:cs="Arial"/>
          <w:color w:val="000000"/>
        </w:rPr>
        <w:t>Pregunta 7 (relativa a recursos bibliográficos).</w:t>
      </w:r>
    </w:p>
    <w:p w:rsidR="00270EF4" w:rsidRDefault="00270EF4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Comisión acuerda evaluar la tendencia en cursos siguientes antes de plantear acciones de mejora al respecto.</w:t>
      </w: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7A1170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A0631B">
        <w:rPr>
          <w:rFonts w:ascii="Arial" w:hAnsi="Arial" w:cs="Arial"/>
          <w:i/>
          <w:iCs/>
          <w:color w:val="000000"/>
        </w:rPr>
        <w:t>Comparativo con el curso anterior:</w:t>
      </w:r>
      <w:r w:rsidR="007A1170">
        <w:rPr>
          <w:rFonts w:ascii="Arial" w:hAnsi="Arial" w:cs="Arial"/>
          <w:i/>
          <w:iCs/>
          <w:color w:val="000000"/>
        </w:rPr>
        <w:t xml:space="preserve"> 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N</w:t>
      </w:r>
      <w:r w:rsidR="007A1170">
        <w:rPr>
          <w:rFonts w:ascii="Arial" w:hAnsi="Arial" w:cs="Arial"/>
          <w:color w:val="000000"/>
        </w:rPr>
        <w:t xml:space="preserve">o </w:t>
      </w:r>
      <w:r w:rsidRPr="00A0631B">
        <w:rPr>
          <w:rFonts w:ascii="Arial" w:hAnsi="Arial" w:cs="Arial"/>
          <w:color w:val="000000"/>
        </w:rPr>
        <w:t>hay datos.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A.1.2. Valoración de la actividad docente (asignaturas) – Datos globales.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cobertura de respuesta de las encuestas de valoración de las asignaturas fue del 30%.</w:t>
      </w: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Datos globales.</w:t>
      </w: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puntuación global es de 3.87, situándose por encima de la media de la UAM (3.78).</w:t>
      </w: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Ninguna de las preguntas contaba con una puntuación inferior a la establecida como valor de corte, por lo que los resultados son</w:t>
      </w:r>
      <w:r w:rsidR="007A1170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satisfactorios. Sólo se observa una puntuación ligeramente baja en las siguientes:</w:t>
      </w:r>
    </w:p>
    <w:p w:rsidR="00A0631B" w:rsidRPr="007A1170" w:rsidRDefault="00A0631B" w:rsidP="00E5083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A1170">
        <w:rPr>
          <w:rFonts w:ascii="Arial" w:hAnsi="Arial" w:cs="Arial"/>
          <w:color w:val="000000"/>
        </w:rPr>
        <w:t>Pregunta 5 (relativa al tiempo dedicado a las prácticas).</w:t>
      </w:r>
    </w:p>
    <w:p w:rsidR="006A7410" w:rsidRPr="007A1170" w:rsidRDefault="00A0631B" w:rsidP="00E5083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A1170">
        <w:rPr>
          <w:rFonts w:ascii="Arial" w:hAnsi="Arial" w:cs="Arial"/>
          <w:color w:val="000000"/>
        </w:rPr>
        <w:t>Pregunta 6 (referente a los recursos para la realización de prácticas).</w:t>
      </w: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Comisión acuerda informar a los profesores y evaluar la tendencia.</w:t>
      </w: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Comparación con el curso anterior: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A0631B">
        <w:rPr>
          <w:rFonts w:ascii="Arial" w:hAnsi="Arial" w:cs="Arial"/>
          <w:color w:val="000000"/>
        </w:rPr>
        <w:t>No se  cuenta con datos de cursos anteriores.</w:t>
      </w:r>
    </w:p>
    <w:p w:rsidR="006A7410" w:rsidRPr="00A0631B" w:rsidRDefault="006A741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A.1.3. Valoración de la actividad docente (asignaturas) – Datos individuales.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En la siguiente tabla se muestran las asignaturas que han sido analizadas por contar con una tasa de cobertura de al menos, un 10%.</w:t>
      </w:r>
    </w:p>
    <w:p w:rsidR="00F9625D" w:rsidRPr="00A0631B" w:rsidRDefault="00A0631B" w:rsidP="00A0631B">
      <w:pPr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Se presenta la cobertura y la puntuación de satisfacción global.</w:t>
      </w:r>
    </w:p>
    <w:p w:rsidR="00A0631B" w:rsidRDefault="00A0631B" w:rsidP="00A0631B">
      <w:pPr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5920"/>
        <w:gridCol w:w="1405"/>
        <w:gridCol w:w="1395"/>
      </w:tblGrid>
      <w:tr w:rsidR="007A1170" w:rsidRPr="00A0631B" w:rsidTr="007A1170">
        <w:trPr>
          <w:trHeight w:val="554"/>
        </w:trPr>
        <w:tc>
          <w:tcPr>
            <w:tcW w:w="5920" w:type="dxa"/>
            <w:shd w:val="clear" w:color="auto" w:fill="D9D9D9" w:themeFill="background1" w:themeFillShade="D9"/>
            <w:vAlign w:val="center"/>
          </w:tcPr>
          <w:p w:rsidR="007A1170" w:rsidRPr="00A0631B" w:rsidRDefault="007A1170" w:rsidP="007A117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A063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7A1170" w:rsidRPr="00A0631B" w:rsidRDefault="007A1170" w:rsidP="007A117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A063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obertura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7A1170" w:rsidRPr="00A0631B" w:rsidRDefault="007A1170" w:rsidP="007A11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Satisfacción</w:t>
            </w:r>
          </w:p>
        </w:tc>
      </w:tr>
      <w:tr w:rsidR="007A1170" w:rsidRPr="00A0631B" w:rsidTr="007A1170">
        <w:tc>
          <w:tcPr>
            <w:tcW w:w="5920" w:type="dxa"/>
            <w:vAlign w:val="center"/>
          </w:tcPr>
          <w:p w:rsidR="007A1170" w:rsidRPr="00A0631B" w:rsidRDefault="007A1170" w:rsidP="007A11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Bases Teóricas y Fisiopatológicas de la Fisioterapia Cardiorrespiratoria</w:t>
            </w:r>
          </w:p>
        </w:tc>
        <w:tc>
          <w:tcPr>
            <w:tcW w:w="1405" w:type="dxa"/>
            <w:vAlign w:val="center"/>
          </w:tcPr>
          <w:p w:rsidR="007A1170" w:rsidRPr="007A1170" w:rsidRDefault="007A1170" w:rsidP="007A1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395" w:type="dxa"/>
            <w:vAlign w:val="center"/>
          </w:tcPr>
          <w:p w:rsidR="007A1170" w:rsidRPr="007A1170" w:rsidRDefault="007A1170" w:rsidP="007A1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3.67</w:t>
            </w:r>
          </w:p>
        </w:tc>
      </w:tr>
      <w:tr w:rsidR="007A1170" w:rsidRPr="00A0631B" w:rsidTr="007A1170">
        <w:tc>
          <w:tcPr>
            <w:tcW w:w="5920" w:type="dxa"/>
            <w:vAlign w:val="center"/>
          </w:tcPr>
          <w:p w:rsidR="007A1170" w:rsidRPr="00A0631B" w:rsidRDefault="007A1170" w:rsidP="007A11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Fisioterapia Respiratoria en el paciente adulto</w:t>
            </w:r>
          </w:p>
        </w:tc>
        <w:tc>
          <w:tcPr>
            <w:tcW w:w="1405" w:type="dxa"/>
            <w:vAlign w:val="center"/>
          </w:tcPr>
          <w:p w:rsidR="007A1170" w:rsidRPr="007A1170" w:rsidRDefault="007A1170" w:rsidP="007A1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395" w:type="dxa"/>
            <w:vAlign w:val="center"/>
          </w:tcPr>
          <w:p w:rsidR="007A1170" w:rsidRPr="007A1170" w:rsidRDefault="007A1170" w:rsidP="007A1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4.67</w:t>
            </w:r>
          </w:p>
        </w:tc>
      </w:tr>
      <w:tr w:rsidR="007A1170" w:rsidRPr="00A0631B" w:rsidTr="007A1170">
        <w:tc>
          <w:tcPr>
            <w:tcW w:w="5920" w:type="dxa"/>
            <w:vAlign w:val="center"/>
          </w:tcPr>
          <w:p w:rsidR="007A1170" w:rsidRPr="00A0631B" w:rsidRDefault="007A1170" w:rsidP="007A11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Fisioterapia Respiratoria en el paciente crítico y neuromuscular</w:t>
            </w:r>
          </w:p>
        </w:tc>
        <w:tc>
          <w:tcPr>
            <w:tcW w:w="1405" w:type="dxa"/>
            <w:vAlign w:val="center"/>
          </w:tcPr>
          <w:p w:rsidR="007A1170" w:rsidRPr="007A1170" w:rsidRDefault="007A1170" w:rsidP="007A1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42.10%</w:t>
            </w:r>
          </w:p>
        </w:tc>
        <w:tc>
          <w:tcPr>
            <w:tcW w:w="1395" w:type="dxa"/>
            <w:vAlign w:val="center"/>
          </w:tcPr>
          <w:p w:rsidR="007A1170" w:rsidRPr="007A1170" w:rsidRDefault="007A1170" w:rsidP="007A1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3.75</w:t>
            </w:r>
          </w:p>
        </w:tc>
      </w:tr>
      <w:tr w:rsidR="007A1170" w:rsidRPr="00A0631B" w:rsidTr="007A1170">
        <w:tc>
          <w:tcPr>
            <w:tcW w:w="5920" w:type="dxa"/>
            <w:vAlign w:val="center"/>
          </w:tcPr>
          <w:p w:rsidR="007A1170" w:rsidRPr="00A0631B" w:rsidRDefault="007A1170" w:rsidP="007A11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Fisioterapia Respiratoria en pediatría</w:t>
            </w:r>
          </w:p>
        </w:tc>
        <w:tc>
          <w:tcPr>
            <w:tcW w:w="1405" w:type="dxa"/>
            <w:vAlign w:val="center"/>
          </w:tcPr>
          <w:p w:rsidR="007A1170" w:rsidRPr="007A1170" w:rsidRDefault="007A1170" w:rsidP="007A1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395" w:type="dxa"/>
            <w:vAlign w:val="center"/>
          </w:tcPr>
          <w:p w:rsidR="007A1170" w:rsidRPr="007A1170" w:rsidRDefault="007A1170" w:rsidP="007A1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4.33</w:t>
            </w:r>
          </w:p>
        </w:tc>
      </w:tr>
      <w:tr w:rsidR="007A1170" w:rsidRPr="00A0631B" w:rsidTr="007A1170">
        <w:tc>
          <w:tcPr>
            <w:tcW w:w="5920" w:type="dxa"/>
            <w:vAlign w:val="center"/>
          </w:tcPr>
          <w:p w:rsidR="007A1170" w:rsidRPr="00A0631B" w:rsidRDefault="007A1170" w:rsidP="007A11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Metodología de la Investigación en Fisioterapia</w:t>
            </w:r>
          </w:p>
        </w:tc>
        <w:tc>
          <w:tcPr>
            <w:tcW w:w="1405" w:type="dxa"/>
            <w:vAlign w:val="center"/>
          </w:tcPr>
          <w:p w:rsidR="007A1170" w:rsidRPr="007A1170" w:rsidRDefault="007A1170" w:rsidP="007A1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95" w:type="dxa"/>
            <w:vAlign w:val="center"/>
          </w:tcPr>
          <w:p w:rsidR="007A1170" w:rsidRPr="007A1170" w:rsidRDefault="007A1170" w:rsidP="007A1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3.67</w:t>
            </w:r>
          </w:p>
        </w:tc>
      </w:tr>
      <w:tr w:rsidR="007A1170" w:rsidRPr="00A0631B" w:rsidTr="007A1170">
        <w:tc>
          <w:tcPr>
            <w:tcW w:w="5920" w:type="dxa"/>
            <w:vAlign w:val="center"/>
          </w:tcPr>
          <w:p w:rsidR="007A1170" w:rsidRPr="00A0631B" w:rsidRDefault="007A1170" w:rsidP="007A11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31B">
              <w:rPr>
                <w:rFonts w:ascii="Arial" w:hAnsi="Arial" w:cs="Arial"/>
                <w:color w:val="000000"/>
                <w:sz w:val="20"/>
                <w:szCs w:val="20"/>
              </w:rPr>
              <w:t>Rehabilitación Cardiopulmonar</w:t>
            </w:r>
          </w:p>
        </w:tc>
        <w:tc>
          <w:tcPr>
            <w:tcW w:w="1405" w:type="dxa"/>
            <w:vAlign w:val="center"/>
          </w:tcPr>
          <w:p w:rsidR="007A1170" w:rsidRPr="007A1170" w:rsidRDefault="007A1170" w:rsidP="007A1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82.5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95" w:type="dxa"/>
            <w:vAlign w:val="center"/>
          </w:tcPr>
          <w:p w:rsidR="007A1170" w:rsidRPr="007A1170" w:rsidRDefault="007A1170" w:rsidP="007A1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1170">
              <w:rPr>
                <w:rFonts w:ascii="Arial" w:hAnsi="Arial" w:cs="Arial"/>
                <w:color w:val="000000"/>
                <w:sz w:val="16"/>
                <w:szCs w:val="16"/>
              </w:rPr>
              <w:t>3.50</w:t>
            </w:r>
          </w:p>
        </w:tc>
      </w:tr>
    </w:tbl>
    <w:p w:rsidR="006A7410" w:rsidRPr="00A0631B" w:rsidRDefault="006A741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No existen suficientes datos de la asignatura de Herramientas de la Información aplicad</w:t>
      </w:r>
      <w:r w:rsidR="007A1170">
        <w:rPr>
          <w:rFonts w:ascii="Arial" w:hAnsi="Arial" w:cs="Arial"/>
          <w:color w:val="000000"/>
        </w:rPr>
        <w:t>as a las Ciencias de la Salud. E</w:t>
      </w:r>
      <w:r w:rsidRPr="00A0631B">
        <w:rPr>
          <w:rFonts w:ascii="Arial" w:hAnsi="Arial" w:cs="Arial"/>
          <w:color w:val="000000"/>
        </w:rPr>
        <w:t>l resto</w:t>
      </w:r>
      <w:r w:rsidR="007A1170">
        <w:rPr>
          <w:rFonts w:ascii="Arial" w:hAnsi="Arial" w:cs="Arial"/>
          <w:color w:val="000000"/>
        </w:rPr>
        <w:t xml:space="preserve"> de</w:t>
      </w:r>
      <w:r w:rsidRPr="00A0631B">
        <w:rPr>
          <w:rFonts w:ascii="Arial" w:hAnsi="Arial" w:cs="Arial"/>
          <w:color w:val="000000"/>
        </w:rPr>
        <w:t xml:space="preserve"> los</w:t>
      </w:r>
      <w:r w:rsidR="007A1170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resultados son muy satisfactorios, con una puntuación por encima del valor de corte en todos los casos.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color w:val="000000"/>
        </w:rPr>
        <w:t>No se cuentan con datos comparativos de cursos anteriores.</w:t>
      </w: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A.1.4. Valoración de la actividad docente (profesorado) - Datos globales.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 xml:space="preserve">La cobertura de respuesta de las encuestas de valoración de los </w:t>
      </w:r>
      <w:r w:rsidR="00E50833">
        <w:rPr>
          <w:rFonts w:ascii="Arial" w:hAnsi="Arial" w:cs="Arial"/>
          <w:color w:val="000000"/>
        </w:rPr>
        <w:t>profesores</w:t>
      </w:r>
      <w:r w:rsidRPr="00A0631B">
        <w:rPr>
          <w:rFonts w:ascii="Arial" w:hAnsi="Arial" w:cs="Arial"/>
          <w:color w:val="000000"/>
        </w:rPr>
        <w:t xml:space="preserve"> fue del 18.1%.</w:t>
      </w: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Datos globales.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puntuación global es de 4.01, situándose por encima de la media de la UAM (3.99).</w:t>
      </w: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lastRenderedPageBreak/>
        <w:t>Análisis pormenorizado de las preguntas cerradas.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Ninguna pregunta obtuvo una puntuación inferior a 3.5.</w:t>
      </w:r>
    </w:p>
    <w:p w:rsidR="007A1170" w:rsidRDefault="007A1170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Comparación con el curso anterior: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No se cuentan con datos de cursos anteriores.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A.1.5. Valoración de la actividad docente (profesorado) – Datos individuales.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Se recogieron encuestas con una cobertura mayor al 10% en el 100% de los docentes, si bien, en el 78% la cobertura se encontró entre</w:t>
      </w:r>
      <w:r w:rsidR="00B570E9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el 10 y el 15%.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Se observa una puntuación de satisfacción global baja en cuatro de los docentes (17.1%) y ligeramente baja, en otros dos casos (8.5%).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Puesto que no se cuentan con datos de ninguno de estos docentes en el curso anterior, se acuerda informar a los implicados y</w:t>
      </w:r>
      <w:r w:rsidR="00B570E9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mantener el seguimiento.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En conclusión, la baja participación en las encuestas de valoración de la actividad docente no ha permitido contar con datos</w:t>
      </w:r>
      <w:r w:rsidR="00B570E9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>representativos de la mayor parte de las asignaturas y profesores, perdiendo de este modo, una información muy valiosa para el</w:t>
      </w:r>
      <w:r w:rsidR="00B570E9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>proceso de seguimiento del Título. Este problema es general a los Títulos del Centro, lo que motivó  a la Comisión de Garantía</w:t>
      </w:r>
      <w:r w:rsidR="00B570E9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>Interna de Calidad a proponer una acción de mejora en el Plan del curso 2014/15, que se mantendrá abierta en el curso 2015/16.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A.2. Encuestas de profesores – Satisfacción con el Plan de Estudios.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cobertura de respuesta por parte de los docentes fue del 58.1%.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Datos globales.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puntuación de satisfacción global con el Plan de Estudios es de 5.00.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No se observa puntuación baja en ninguna de las cuestiones.</w:t>
      </w:r>
    </w:p>
    <w:p w:rsidR="006A7410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i/>
          <w:iCs/>
          <w:color w:val="000000"/>
        </w:rPr>
        <w:lastRenderedPageBreak/>
        <w:t>Comparativo con el curso anterior.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No se cuentan con datos de cursos anteriores.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B) Satisfacción con las prácticas clínicas.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Las prácticas clínicas que realizaron los estudiantes, dentro del marco de la asignatura de Practicum, fueron valoradas por dos vías:</w:t>
      </w:r>
    </w:p>
    <w:p w:rsidR="00A0631B" w:rsidRPr="00B570E9" w:rsidRDefault="00A0631B" w:rsidP="00E5083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570E9">
        <w:rPr>
          <w:rFonts w:ascii="Arial" w:hAnsi="Arial" w:cs="Arial"/>
          <w:color w:val="000000"/>
        </w:rPr>
        <w:t>Encuesta de valoración de prácticas externas de la UAM (evaluación cuantitativa global).</w:t>
      </w:r>
    </w:p>
    <w:p w:rsidR="00A0631B" w:rsidRPr="00B570E9" w:rsidRDefault="00A0631B" w:rsidP="00E5083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70E9">
        <w:rPr>
          <w:rFonts w:ascii="Arial" w:hAnsi="Arial" w:cs="Arial"/>
          <w:color w:val="000000"/>
        </w:rPr>
        <w:t>A través de los informes emitidos por las tutoras académicas de la asignatura Practicum, en los que se recogieron las opiniones</w:t>
      </w:r>
      <w:r w:rsid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de los estudiantes reflejadas en las memorias finales de prácticas (evaluación cualitativa por centro).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B.1. Encuestas de prácticas.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cobertura de las encuestas de prácticas fue del 42.9%.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Datos globales.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La puntuación de satisfacción global con las prácticas fue de 3.29.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t>Análisis pormenorizado de las preguntas cerradas.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Se obtuvo una puntuación baja en la pregunta 9 (cumplimiento de los objetivos marcados).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Por su parte, se alcanzaron puntuaciones ligeramente bajas en las siguientes:</w:t>
      </w:r>
    </w:p>
    <w:p w:rsidR="00A0631B" w:rsidRPr="00B570E9" w:rsidRDefault="00A0631B" w:rsidP="00E5083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70E9">
        <w:rPr>
          <w:rFonts w:ascii="Arial" w:hAnsi="Arial" w:cs="Arial"/>
          <w:color w:val="000000"/>
        </w:rPr>
        <w:t>Pregunta 6 (actividades acordes con la formación).</w:t>
      </w:r>
    </w:p>
    <w:p w:rsidR="00A0631B" w:rsidRPr="00B570E9" w:rsidRDefault="00A0631B" w:rsidP="00E5083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570E9">
        <w:rPr>
          <w:rFonts w:ascii="Arial" w:hAnsi="Arial" w:cs="Arial"/>
          <w:color w:val="000000"/>
        </w:rPr>
        <w:t>Pregunta 7 (lugar de trabajo adecuado).</w:t>
      </w:r>
    </w:p>
    <w:p w:rsidR="00A0631B" w:rsidRPr="00B570E9" w:rsidRDefault="00A0631B" w:rsidP="00E5083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70E9">
        <w:rPr>
          <w:rFonts w:ascii="Arial" w:hAnsi="Arial" w:cs="Arial"/>
          <w:color w:val="000000"/>
        </w:rPr>
        <w:t>Pregunta 8 (medios disponibles adecuados).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Al contar con una gran variedad de centros donde los estudiantes realizan sus prácticas y siendo ésta, una encuesta única, de ella no</w:t>
      </w:r>
      <w:r w:rsidR="00B570E9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se pueden extraer conclusiones pormenorizadas. La Comisión acuerda centrarse en el análisis por centro reflejado en el punto</w:t>
      </w:r>
      <w:r w:rsidR="00B570E9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siguiente y evaluar la tendencia de las encuestas en cursos sucesivos.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i/>
          <w:iCs/>
          <w:color w:val="000000"/>
        </w:rPr>
        <w:lastRenderedPageBreak/>
        <w:t>Comparativo con el curso anterior.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No hay datos de cursos anteriores.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B.2. Informes de los tutores académicos.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Del análisis de  estos informes se extraen las siguientes conclusiones:</w:t>
      </w:r>
    </w:p>
    <w:p w:rsidR="00A0631B" w:rsidRPr="00B570E9" w:rsidRDefault="00A0631B" w:rsidP="00E50833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570E9">
        <w:rPr>
          <w:rFonts w:ascii="Arial" w:hAnsi="Arial" w:cs="Arial"/>
          <w:color w:val="000000"/>
        </w:rPr>
        <w:t>Rotación de pediatría: El 100% de los estudiantes manifestó satisfacción con los cuatro centros de prácticas, tanto en la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organización de la práctica como en el interés de los casos clínicos y el aprovechamiento del tiempo. Así mismo, destacaron la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calidad asistencial y la implicación docente de los tutores.</w:t>
      </w:r>
    </w:p>
    <w:p w:rsidR="00A0631B" w:rsidRPr="00B570E9" w:rsidRDefault="00A0631B" w:rsidP="00E50833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570E9">
        <w:rPr>
          <w:rFonts w:ascii="Arial" w:hAnsi="Arial" w:cs="Arial"/>
          <w:color w:val="000000"/>
        </w:rPr>
        <w:t>Rotación de hospitalización/UCI: El 100% de los estudiantes manifestó su satisfacción con la rotación, destacando los medios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disponibles del centro donde se realizaba la práctica, así como la implicación de los tutores en el proceso de aprendizaje de los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estudiantes. Sólo se planteó una demanda de incremento del tiempo dedicado a la práctica asistencial en UCI, lo que fue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transmitido al responsable del centro de cara a la organización del curso siguiente.</w:t>
      </w:r>
    </w:p>
    <w:p w:rsidR="00A0631B" w:rsidRPr="00B570E9" w:rsidRDefault="00A0631B" w:rsidP="00E50833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570E9">
        <w:rPr>
          <w:rFonts w:ascii="Arial" w:hAnsi="Arial" w:cs="Arial"/>
          <w:color w:val="000000"/>
        </w:rPr>
        <w:t>Rotación de Rehabilitación Respiratoria: El 100% de los estudiantes manifestó una gran satisfacción con los dos centros de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prácticas donde se desarrolló esta rotación, tanto en la estructuración de la práctica como en el aprovechamiento del tiempo.</w:t>
      </w:r>
      <w:r w:rsid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Así mismo, destacaron la calidad asistencial y la implicación personal de los tutores. Un 20% de los estudiantes reflejaron que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en uno de los centros la infraestructura era un poco deficitaria, lo que se relaciona con las puntuaciones observadas en las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preguntas 7 y 8 de las encuestas.</w:t>
      </w:r>
    </w:p>
    <w:p w:rsidR="00A0631B" w:rsidRPr="00B570E9" w:rsidRDefault="00A0631B" w:rsidP="00E50833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570E9">
        <w:rPr>
          <w:rFonts w:ascii="Arial" w:hAnsi="Arial" w:cs="Arial"/>
          <w:color w:val="000000"/>
        </w:rPr>
        <w:t>Rotación de Rehabilitación Cardiaca:  Ésta se desarrolló en dos centros, uno de los cuales contó con la satisfacción de la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totalidad de los estudiantes, tanto en la propia organización  de la práctica como en la calidad de los tutores. En el otro centro,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el 50% se mostraron insatisfechos. Tras recabar información adicional, se detectó que habían coincidido las fechas de estancia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 xml:space="preserve">de los estudiantes insatisfechos con unas semanas de ausencia parcial del  tutor profesional. Para evitar </w:t>
      </w:r>
      <w:r w:rsidRPr="00B570E9">
        <w:rPr>
          <w:rFonts w:ascii="Arial" w:hAnsi="Arial" w:cs="Arial"/>
          <w:color w:val="000000"/>
        </w:rPr>
        <w:lastRenderedPageBreak/>
        <w:t>situaciones similares en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cursos siguientes, se planificarán las rotaciones en este centro en las semanas de plena disponibilidad del tutor.</w:t>
      </w:r>
    </w:p>
    <w:p w:rsidR="00A0631B" w:rsidRPr="00B570E9" w:rsidRDefault="00A0631B" w:rsidP="00E50833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70E9">
        <w:rPr>
          <w:rFonts w:ascii="Arial" w:hAnsi="Arial" w:cs="Arial"/>
          <w:color w:val="000000"/>
        </w:rPr>
        <w:t>Rotación de atención domiciliaria: La satisfacción general con esta rotación fue variable, si bien, todos los estudiantes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manifestaron la profesionalidad e implicación de los tutores. A través de las reflexiones de los estudiantes, se detecta que la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información disponible sobre esta rotación  fue deficitaria, lo que condujo a unas expectativas erróneas por parte de los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estudiantes. Para cursos siguientes se plantea aportar mayor información sobre el objetivo de esta rotación, así como, centrar la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oferta en los centros en que el tutor profesional sea fisioterapeuta (en el curso 2015/16 participaron otros profesionales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sanitarios). La Comisión considera que esta percepción es la que puede haber influido en la respuesta de la pregunta 9 de la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encuesta global.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E</w:t>
      </w:r>
      <w:r w:rsidR="00A0631B" w:rsidRPr="00A0631B">
        <w:rPr>
          <w:rFonts w:ascii="Arial" w:hAnsi="Arial" w:cs="Arial"/>
          <w:b/>
          <w:bCs/>
          <w:color w:val="000000"/>
        </w:rPr>
        <w:t xml:space="preserve">n conclusión, el desarrollo general de las prácticas ha sido satisfactorio. No obstante, según se ha reflejado en el apartado 5.4, </w:t>
      </w:r>
      <w:r w:rsidR="00E50833" w:rsidRPr="00A0631B">
        <w:rPr>
          <w:rFonts w:ascii="Arial" w:hAnsi="Arial" w:cs="Arial"/>
          <w:b/>
          <w:bCs/>
          <w:color w:val="000000"/>
        </w:rPr>
        <w:t>se</w:t>
      </w:r>
      <w:r w:rsidR="00E50833">
        <w:rPr>
          <w:rFonts w:ascii="Arial" w:hAnsi="Arial" w:cs="Arial"/>
          <w:b/>
          <w:bCs/>
          <w:color w:val="000000"/>
        </w:rPr>
        <w:t xml:space="preserve"> </w:t>
      </w:r>
      <w:r w:rsidR="00E50833" w:rsidRPr="00A0631B">
        <w:rPr>
          <w:rFonts w:ascii="Arial" w:hAnsi="Arial" w:cs="Arial"/>
          <w:b/>
          <w:bCs/>
          <w:color w:val="000000"/>
        </w:rPr>
        <w:t>plantea</w:t>
      </w:r>
      <w:r w:rsidR="00A0631B" w:rsidRPr="00A0631B">
        <w:rPr>
          <w:rFonts w:ascii="Arial" w:hAnsi="Arial" w:cs="Arial"/>
          <w:b/>
          <w:bCs/>
          <w:color w:val="000000"/>
        </w:rPr>
        <w:t xml:space="preserve"> una acción de mejora para incrementar la oferta en las rotaciones de Rehabilitación Respiratoria y Cardiaca.</w:t>
      </w:r>
    </w:p>
    <w:p w:rsidR="00CF3AEC" w:rsidRPr="00A0631B" w:rsidRDefault="00CF3AEC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C) Reclamaciones y sugerencias.</w:t>
      </w:r>
    </w:p>
    <w:p w:rsidR="00CF3AEC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color w:val="000000"/>
        </w:rPr>
        <w:t>Durante el curso 2015/16 no se recogió ninguna reclamación/sugerencia relacionada con el Título.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D) Resultados de satisfacción del Personal de Administración y Servicios (PAS).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El informe de satisfacción del PAS en el curso 2015/16 elaborado a partir de un grupo de discusión, en el que se trataron temas claves,</w:t>
      </w:r>
      <w:r w:rsidR="00B570E9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es analizado por la comisión de Garantía de Calidad del Centro, extrayendo las siguientes conclusiones:</w:t>
      </w:r>
    </w:p>
    <w:p w:rsidR="00A0631B" w:rsidRPr="00B570E9" w:rsidRDefault="00A0631B" w:rsidP="00E5083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570E9">
        <w:rPr>
          <w:rFonts w:ascii="Arial" w:hAnsi="Arial" w:cs="Arial"/>
          <w:color w:val="000000"/>
        </w:rPr>
        <w:t>El PAS manifiesta cierto nivel de insatisfacción en relación a las infraestructuras del Centro (saneamiento, climatización,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seguridad, accesibilidad, etc.). Todo lo planteado tiene su origen en la antigüedad del inmueble que aloja la Escuela. Puesto que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 xml:space="preserve">la ONCE </w:t>
      </w:r>
      <w:r w:rsidR="00E50833" w:rsidRPr="00B570E9">
        <w:rPr>
          <w:rFonts w:ascii="Arial" w:hAnsi="Arial" w:cs="Arial"/>
          <w:color w:val="000000"/>
        </w:rPr>
        <w:t>prevé</w:t>
      </w:r>
      <w:r w:rsidRPr="00B570E9">
        <w:rPr>
          <w:rFonts w:ascii="Arial" w:hAnsi="Arial" w:cs="Arial"/>
          <w:color w:val="000000"/>
        </w:rPr>
        <w:t xml:space="preserve"> el traslado </w:t>
      </w:r>
      <w:r w:rsidRPr="00B570E9">
        <w:rPr>
          <w:rFonts w:ascii="Arial" w:hAnsi="Arial" w:cs="Arial"/>
          <w:color w:val="000000"/>
        </w:rPr>
        <w:lastRenderedPageBreak/>
        <w:t>del Centro a un edificio nuevo, en un plazo de tiempo corto, la Comisión considera que no procede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plantear ninguna acción de mejora al respecto. Además, en el curso 2016/17 se van a emprender obras para la adecuación a las</w:t>
      </w:r>
      <w:r w:rsidR="00B570E9" w:rsidRPr="00B570E9">
        <w:rPr>
          <w:rFonts w:ascii="Arial" w:hAnsi="Arial" w:cs="Arial"/>
          <w:color w:val="000000"/>
        </w:rPr>
        <w:t xml:space="preserve"> </w:t>
      </w:r>
      <w:r w:rsidRPr="00B570E9">
        <w:rPr>
          <w:rFonts w:ascii="Arial" w:hAnsi="Arial" w:cs="Arial"/>
          <w:color w:val="000000"/>
        </w:rPr>
        <w:t>normas de seguridad establecidas en la legislación vigente.</w:t>
      </w:r>
    </w:p>
    <w:p w:rsidR="00CF3AEC" w:rsidRPr="00B570E9" w:rsidRDefault="00A0631B" w:rsidP="00E5083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B570E9">
        <w:rPr>
          <w:rFonts w:ascii="Arial" w:hAnsi="Arial" w:cs="Arial"/>
          <w:color w:val="000000"/>
        </w:rPr>
        <w:t xml:space="preserve">El PAS manifiesta un </w:t>
      </w:r>
      <w:r w:rsidR="00E50833" w:rsidRPr="00B570E9">
        <w:rPr>
          <w:rFonts w:ascii="Arial" w:hAnsi="Arial" w:cs="Arial"/>
          <w:color w:val="000000"/>
        </w:rPr>
        <w:t>alto</w:t>
      </w:r>
      <w:r w:rsidRPr="00B570E9">
        <w:rPr>
          <w:rFonts w:ascii="Arial" w:hAnsi="Arial" w:cs="Arial"/>
          <w:color w:val="000000"/>
        </w:rPr>
        <w:t xml:space="preserve"> nivel de insatisfacción con la dotación de recursos humanos en la Escuela. </w:t>
      </w:r>
      <w:r w:rsidRPr="00B570E9">
        <w:rPr>
          <w:rFonts w:ascii="Arial" w:hAnsi="Arial" w:cs="Arial"/>
          <w:b/>
          <w:bCs/>
          <w:color w:val="000000"/>
        </w:rPr>
        <w:t>Esto contribuye a</w:t>
      </w:r>
      <w:r w:rsidR="00B570E9">
        <w:rPr>
          <w:rFonts w:ascii="Arial" w:hAnsi="Arial" w:cs="Arial"/>
          <w:b/>
          <w:bCs/>
          <w:color w:val="000000"/>
        </w:rPr>
        <w:t xml:space="preserve"> </w:t>
      </w:r>
      <w:r w:rsidRPr="00B570E9">
        <w:rPr>
          <w:rFonts w:ascii="Arial" w:hAnsi="Arial" w:cs="Arial"/>
          <w:b/>
          <w:bCs/>
          <w:color w:val="000000"/>
        </w:rPr>
        <w:t>mantener la acción de mejora relativa al incremento de personal.</w:t>
      </w:r>
    </w:p>
    <w:p w:rsidR="00A0631B" w:rsidRPr="00A0631B" w:rsidRDefault="00A0631B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>5.9. Comunicación y difusión de la titulación</w:t>
      </w:r>
    </w:p>
    <w:p w:rsidR="00CF3AEC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color w:val="000000"/>
        </w:rPr>
        <w:t>Se está trabajando en el desarrollo de la página web del Centro, para actualizar la información disponible y adaptarla a los nuevos</w:t>
      </w:r>
      <w:r w:rsidR="00B570E9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requerimientos de ANECA. El proceso ha sufrido un fuerte retraso debido a que se está homogeneizando la apariencia del proyecto</w:t>
      </w:r>
      <w:r w:rsidR="00B570E9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inicial con la de la web institucional. Se espera que la nueva página esté operativa en el curso 2016/17.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5.10. Recursos materiales y servicios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Los recursos materiales con los que contaba la Escuela de Fisioterapia de la ONCE en el momento de verificación del Título, siguen</w:t>
      </w:r>
      <w:r w:rsidR="00B570E9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disponibles. A lo largo del curso 2015/16 se han ido cubriendo todas las necesidades de adquisición de material que han ido surgiendo</w:t>
      </w:r>
      <w:r w:rsidR="00B570E9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y se ha efectuado una adecuación del aula de informática.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Por otro lado, se ha implementado la nueva plataforma virtual de apoyo a la docencia.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Se han iniciado los trámites para la habilitación de un aula específica para actividades de evaluación que se espera esté disponible en</w:t>
      </w:r>
      <w:r w:rsidR="00B570E9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el curso 2016/17.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CF3AEC" w:rsidRPr="00A0631B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</w:t>
      </w:r>
      <w:r w:rsidR="00A0631B" w:rsidRPr="00A0631B">
        <w:rPr>
          <w:rFonts w:ascii="Arial" w:hAnsi="Arial" w:cs="Arial"/>
          <w:b/>
          <w:bCs/>
          <w:color w:val="000000"/>
        </w:rPr>
        <w:t>o se observa la necesidad de plantear nuevas acciones de mejora en este tema.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B570E9" w:rsidRDefault="00B570E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lastRenderedPageBreak/>
        <w:t>5.11. Recursos humanos</w:t>
      </w: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t xml:space="preserve">A. Profesorado. 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Datos generales: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En el curso 2015/16  se contó con un total de 19 docentes vinculados al Título. El equipo docente está constituido por profesores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pertenecientes a la UAM (Profesores UAM) y  ajenos a   la misma (Profesores no UAM), contratados directamente por el Centro. En las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tablas siguientes se presenta el perfil de los docentes del Título en el curso 2015/16:</w:t>
      </w: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1440"/>
        <w:gridCol w:w="1440"/>
        <w:gridCol w:w="1441"/>
        <w:gridCol w:w="1441"/>
        <w:gridCol w:w="1441"/>
        <w:gridCol w:w="1441"/>
      </w:tblGrid>
      <w:tr w:rsidR="00B570E9" w:rsidRPr="00B570E9" w:rsidTr="00B570E9">
        <w:tc>
          <w:tcPr>
            <w:tcW w:w="1440" w:type="dxa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Doctor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Sexenios*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Quinquenios*</w:t>
            </w:r>
          </w:p>
        </w:tc>
      </w:tr>
      <w:tr w:rsidR="00B570E9" w:rsidRPr="00B570E9" w:rsidTr="00B570E9"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Profesores UAM</w:t>
            </w:r>
          </w:p>
        </w:tc>
        <w:tc>
          <w:tcPr>
            <w:tcW w:w="1440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441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41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441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1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B570E9" w:rsidRPr="00B570E9" w:rsidTr="00B570E9"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Profesores</w:t>
            </w:r>
          </w:p>
          <w:p w:rsidR="00B570E9" w:rsidRPr="00B570E9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UAM</w:t>
            </w:r>
          </w:p>
        </w:tc>
        <w:tc>
          <w:tcPr>
            <w:tcW w:w="1440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441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441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441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0E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B570E9" w:rsidRPr="00B570E9" w:rsidTr="00B570E9"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72%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0%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:rsidR="00B570E9" w:rsidRPr="00B570E9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</w:tbl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B570E9" w:rsidRDefault="00B570E9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1371"/>
        <w:gridCol w:w="1224"/>
        <w:gridCol w:w="1225"/>
        <w:gridCol w:w="1225"/>
        <w:gridCol w:w="1225"/>
        <w:gridCol w:w="1225"/>
        <w:gridCol w:w="1225"/>
      </w:tblGrid>
      <w:tr w:rsidR="00B570E9" w:rsidTr="00B570E9">
        <w:tc>
          <w:tcPr>
            <w:tcW w:w="1371" w:type="dxa"/>
            <w:vMerge w:val="restart"/>
          </w:tcPr>
          <w:p w:rsidR="00B570E9" w:rsidRDefault="00B570E9" w:rsidP="00A063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74" w:type="dxa"/>
            <w:gridSpan w:val="3"/>
            <w:vAlign w:val="center"/>
          </w:tcPr>
          <w:p w:rsidR="00B570E9" w:rsidRPr="002F387B" w:rsidRDefault="00B570E9" w:rsidP="00981A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Exp. Investigadora (años)**</w:t>
            </w:r>
          </w:p>
        </w:tc>
        <w:tc>
          <w:tcPr>
            <w:tcW w:w="3675" w:type="dxa"/>
            <w:gridSpan w:val="3"/>
            <w:vAlign w:val="center"/>
          </w:tcPr>
          <w:p w:rsidR="00B570E9" w:rsidRPr="002F387B" w:rsidRDefault="00E50833" w:rsidP="00981A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Exp. Docente (años)**</w:t>
            </w:r>
          </w:p>
        </w:tc>
      </w:tr>
      <w:tr w:rsidR="00B570E9" w:rsidTr="00B570E9">
        <w:tc>
          <w:tcPr>
            <w:tcW w:w="1371" w:type="dxa"/>
            <w:vMerge/>
          </w:tcPr>
          <w:p w:rsidR="00B570E9" w:rsidRDefault="00B570E9" w:rsidP="00A063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24" w:type="dxa"/>
            <w:vAlign w:val="center"/>
          </w:tcPr>
          <w:p w:rsidR="00B570E9" w:rsidRPr="008326B3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326B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&lt;10</w:t>
            </w:r>
          </w:p>
        </w:tc>
        <w:tc>
          <w:tcPr>
            <w:tcW w:w="1225" w:type="dxa"/>
            <w:vAlign w:val="center"/>
          </w:tcPr>
          <w:p w:rsidR="00B570E9" w:rsidRPr="008326B3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326B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10-20</w:t>
            </w:r>
          </w:p>
        </w:tc>
        <w:tc>
          <w:tcPr>
            <w:tcW w:w="1225" w:type="dxa"/>
            <w:vAlign w:val="center"/>
          </w:tcPr>
          <w:p w:rsidR="00B570E9" w:rsidRPr="008326B3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326B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&gt;20</w:t>
            </w:r>
          </w:p>
        </w:tc>
        <w:tc>
          <w:tcPr>
            <w:tcW w:w="1225" w:type="dxa"/>
            <w:vAlign w:val="center"/>
          </w:tcPr>
          <w:p w:rsidR="00B570E9" w:rsidRPr="00D21F93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F9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&lt;10</w:t>
            </w:r>
          </w:p>
        </w:tc>
        <w:tc>
          <w:tcPr>
            <w:tcW w:w="1225" w:type="dxa"/>
            <w:vAlign w:val="center"/>
          </w:tcPr>
          <w:p w:rsidR="00B570E9" w:rsidRPr="00D21F93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F9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10-20</w:t>
            </w:r>
          </w:p>
        </w:tc>
        <w:tc>
          <w:tcPr>
            <w:tcW w:w="1225" w:type="dxa"/>
            <w:vAlign w:val="center"/>
          </w:tcPr>
          <w:p w:rsidR="00B570E9" w:rsidRPr="00D21F93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F9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&gt;20</w:t>
            </w:r>
          </w:p>
        </w:tc>
      </w:tr>
      <w:tr w:rsidR="00B570E9" w:rsidTr="00B570E9">
        <w:tc>
          <w:tcPr>
            <w:tcW w:w="1371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Profesores UAM</w:t>
            </w:r>
          </w:p>
        </w:tc>
        <w:tc>
          <w:tcPr>
            <w:tcW w:w="1224" w:type="dxa"/>
            <w:vAlign w:val="center"/>
          </w:tcPr>
          <w:p w:rsidR="00B570E9" w:rsidRPr="004A099E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Lucida Fax" w:hAnsi="Lucida Fax" w:cs="Lucida Fax"/>
                <w:color w:val="000000"/>
                <w:sz w:val="14"/>
                <w:szCs w:val="14"/>
              </w:rPr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50%</w:t>
            </w:r>
          </w:p>
        </w:tc>
        <w:tc>
          <w:tcPr>
            <w:tcW w:w="1225" w:type="dxa"/>
            <w:vAlign w:val="center"/>
          </w:tcPr>
          <w:p w:rsidR="00B570E9" w:rsidRPr="004A099E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Lucida Fax" w:hAnsi="Lucida Fax" w:cs="Lucida Fax"/>
                <w:color w:val="000000"/>
                <w:sz w:val="14"/>
                <w:szCs w:val="14"/>
              </w:rPr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225" w:type="dxa"/>
            <w:vAlign w:val="center"/>
          </w:tcPr>
          <w:p w:rsidR="00B570E9" w:rsidRPr="004A099E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Lucida Fax" w:hAnsi="Lucida Fax" w:cs="Lucida Fax"/>
                <w:color w:val="000000"/>
                <w:sz w:val="14"/>
                <w:szCs w:val="14"/>
              </w:rPr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225" w:type="dxa"/>
            <w:vAlign w:val="center"/>
          </w:tcPr>
          <w:p w:rsidR="00B570E9" w:rsidRPr="004A099E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Lucida Fax" w:hAnsi="Lucida Fax" w:cs="Lucida Fax"/>
                <w:color w:val="000000"/>
                <w:sz w:val="14"/>
                <w:szCs w:val="14"/>
              </w:rPr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225" w:type="dxa"/>
            <w:vAlign w:val="center"/>
          </w:tcPr>
          <w:p w:rsidR="00B570E9" w:rsidRPr="004A099E" w:rsidRDefault="00B570E9" w:rsidP="00B570E9">
            <w:pPr>
              <w:autoSpaceDE w:val="0"/>
              <w:autoSpaceDN w:val="0"/>
              <w:adjustRightInd w:val="0"/>
              <w:jc w:val="center"/>
              <w:rPr>
                <w:rFonts w:ascii="Lucida Fax" w:hAnsi="Lucida Fax" w:cs="Lucida Fax"/>
                <w:color w:val="000000"/>
                <w:sz w:val="14"/>
                <w:szCs w:val="14"/>
              </w:rPr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225" w:type="dxa"/>
            <w:vAlign w:val="center"/>
          </w:tcPr>
          <w:p w:rsidR="00B570E9" w:rsidRPr="004A099E" w:rsidRDefault="00B570E9" w:rsidP="00B570E9">
            <w:pPr>
              <w:autoSpaceDE w:val="0"/>
              <w:autoSpaceDN w:val="0"/>
              <w:adjustRightInd w:val="0"/>
              <w:jc w:val="center"/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100%</w:t>
            </w:r>
          </w:p>
        </w:tc>
      </w:tr>
      <w:tr w:rsidR="00B570E9" w:rsidTr="00B570E9">
        <w:tc>
          <w:tcPr>
            <w:tcW w:w="1371" w:type="dxa"/>
            <w:vAlign w:val="center"/>
          </w:tcPr>
          <w:p w:rsidR="00B570E9" w:rsidRPr="00B570E9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Profesores</w:t>
            </w:r>
          </w:p>
          <w:p w:rsidR="00B570E9" w:rsidRPr="00B570E9" w:rsidRDefault="00B570E9" w:rsidP="00B570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UAM</w:t>
            </w:r>
          </w:p>
        </w:tc>
        <w:tc>
          <w:tcPr>
            <w:tcW w:w="1224" w:type="dxa"/>
            <w:vAlign w:val="center"/>
          </w:tcPr>
          <w:p w:rsidR="00B570E9" w:rsidRPr="004A099E" w:rsidRDefault="00B570E9" w:rsidP="00B570E9">
            <w:pPr>
              <w:jc w:val="center"/>
              <w:rPr>
                <w:rFonts w:ascii="Lucida Fax" w:hAnsi="Lucida Fax" w:cs="Lucida Fax"/>
                <w:color w:val="000000"/>
                <w:sz w:val="14"/>
                <w:szCs w:val="14"/>
              </w:rPr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58%</w:t>
            </w:r>
          </w:p>
        </w:tc>
        <w:tc>
          <w:tcPr>
            <w:tcW w:w="1225" w:type="dxa"/>
            <w:vAlign w:val="center"/>
          </w:tcPr>
          <w:p w:rsidR="00B570E9" w:rsidRPr="004A099E" w:rsidRDefault="00B570E9" w:rsidP="00B570E9">
            <w:pPr>
              <w:jc w:val="center"/>
              <w:rPr>
                <w:rFonts w:ascii="Lucida Fax" w:hAnsi="Lucida Fax" w:cs="Lucida Fax"/>
                <w:color w:val="000000"/>
                <w:sz w:val="14"/>
                <w:szCs w:val="14"/>
              </w:rPr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33%%</w:t>
            </w:r>
          </w:p>
        </w:tc>
        <w:tc>
          <w:tcPr>
            <w:tcW w:w="1225" w:type="dxa"/>
            <w:vAlign w:val="center"/>
          </w:tcPr>
          <w:p w:rsidR="00B570E9" w:rsidRPr="004A099E" w:rsidRDefault="00B570E9" w:rsidP="00B570E9">
            <w:pPr>
              <w:jc w:val="center"/>
              <w:rPr>
                <w:rFonts w:ascii="Lucida Fax" w:hAnsi="Lucida Fax" w:cs="Lucida Fax"/>
                <w:color w:val="000000"/>
                <w:sz w:val="14"/>
                <w:szCs w:val="14"/>
              </w:rPr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9%</w:t>
            </w:r>
          </w:p>
        </w:tc>
        <w:tc>
          <w:tcPr>
            <w:tcW w:w="1225" w:type="dxa"/>
            <w:vAlign w:val="center"/>
          </w:tcPr>
          <w:p w:rsidR="00B570E9" w:rsidRPr="004A099E" w:rsidRDefault="00B570E9" w:rsidP="00B570E9">
            <w:pPr>
              <w:jc w:val="center"/>
              <w:rPr>
                <w:rFonts w:ascii="Lucida Fax" w:hAnsi="Lucida Fax" w:cs="Lucida Fax"/>
                <w:color w:val="000000"/>
                <w:sz w:val="14"/>
                <w:szCs w:val="14"/>
              </w:rPr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25%</w:t>
            </w:r>
          </w:p>
        </w:tc>
        <w:tc>
          <w:tcPr>
            <w:tcW w:w="1225" w:type="dxa"/>
            <w:vAlign w:val="center"/>
          </w:tcPr>
          <w:p w:rsidR="00B570E9" w:rsidRPr="004A099E" w:rsidRDefault="00B570E9" w:rsidP="00B570E9">
            <w:pPr>
              <w:jc w:val="center"/>
              <w:rPr>
                <w:rFonts w:ascii="Lucida Fax" w:hAnsi="Lucida Fax" w:cs="Lucida Fax"/>
                <w:color w:val="000000"/>
                <w:sz w:val="14"/>
                <w:szCs w:val="14"/>
              </w:rPr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58%</w:t>
            </w:r>
          </w:p>
        </w:tc>
        <w:tc>
          <w:tcPr>
            <w:tcW w:w="1225" w:type="dxa"/>
            <w:vAlign w:val="center"/>
          </w:tcPr>
          <w:p w:rsidR="00B570E9" w:rsidRDefault="00B570E9" w:rsidP="00B570E9">
            <w:pPr>
              <w:jc w:val="center"/>
            </w:pPr>
            <w:r w:rsidRPr="004A099E">
              <w:rPr>
                <w:rFonts w:ascii="Lucida Fax" w:hAnsi="Lucida Fax" w:cs="Lucida Fax"/>
                <w:color w:val="000000"/>
                <w:sz w:val="14"/>
                <w:szCs w:val="14"/>
              </w:rPr>
              <w:t>17%</w:t>
            </w:r>
          </w:p>
        </w:tc>
      </w:tr>
    </w:tbl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(*) Se presenta  el  cómputo global de sexenios y quinquenios reconocidos en los profesores del Título.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(**) Para los profesores que no pueden acceder a los sistemas de acreditación basados en sexenios y quinquenios (extranjeros, profesores asociados de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 xml:space="preserve">Ciencias de la </w:t>
      </w:r>
      <w:r w:rsidR="00E50833" w:rsidRPr="00A0631B">
        <w:rPr>
          <w:rFonts w:ascii="Arial" w:hAnsi="Arial" w:cs="Arial"/>
          <w:color w:val="000000"/>
        </w:rPr>
        <w:t>Salud</w:t>
      </w:r>
      <w:r w:rsidRPr="00A0631B">
        <w:rPr>
          <w:rFonts w:ascii="Arial" w:hAnsi="Arial" w:cs="Arial"/>
          <w:color w:val="000000"/>
        </w:rPr>
        <w:t>, pertenecientes a universidades privadas, docentes no vinculados a la universidad), se detalla la experiencia investigadora y de docencia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según tramos (porcentaje de docentes en cada tramo).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Datos de formación del profesorado durante el curso 2015/16.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Se solicita a los docentes del Título que informen acerca de las acciones formativas que han recibido durante el curso académico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2015/16, obteniéndose respuesta del 75% de los docentes. De los datos recogidos, cabe destacar:</w:t>
      </w:r>
    </w:p>
    <w:p w:rsidR="00981AB2" w:rsidRDefault="00981AB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Un 10% realizaron formación universitaria de segundo ciclo.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lastRenderedPageBreak/>
        <w:t>Un 40% participaron en cursos de formación continua dirigidos a mejorar las competencias docentes y/o investigadoras.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Un 33% efectuaron cursos de formación continua dirigidos a mejorar sus competencias profesionales y/o disciplinares.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Un 100% acudieron a congresos, jornadas y/ o reuniones científicas.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0631B">
        <w:rPr>
          <w:rFonts w:ascii="Arial" w:hAnsi="Arial" w:cs="Arial"/>
          <w:color w:val="000000"/>
        </w:rPr>
        <w:t>Para mayor detalle de estas acciones formativas (título, entidad organizadora y ECTS/horas), se adjunta como anexo a este Informe, el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documento Datos formación profesorado Máster FIRES-15-16.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B. Personal de administración y servicios.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cuanto al personal de administración y servicios del Centro, en relación a lo expuesto en la memoria de verificación del Título, se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produjeron los siguientes cambios en el curso 2015/16:  Supresión de un puesto de técnico de mantenimiento y la incorporación de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un técnico de reprografía a media jornada.</w:t>
      </w:r>
    </w:p>
    <w:p w:rsidR="00981AB2" w:rsidRDefault="00981AB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La Comisión de Garantía de Calidad del Centro ya en los cursos anteriores, observó que una vez implantada la totalidad de la</w:t>
      </w:r>
      <w:r w:rsidR="00981AB2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>formación de Grado y dos Másteres, la dotación de personal docente a tiempo completo (permanente) y de administración es</w:t>
      </w:r>
      <w:r w:rsidR="00981AB2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>escasa para garantizar el correcto desarrollo de los Títulos, puesto que dicho personal además, participa en el resto de actividades</w:t>
      </w:r>
      <w:r w:rsidR="00981AB2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>de la Escuela. El número de estudiantes y el de actividades efectuadas en el Centro se ha duplicado en los últimos años, mientras</w:t>
      </w:r>
      <w:r w:rsidR="00981AB2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>que el número de trabajadores no se ha visto incrementado sino al contrario, lo que está suponiendo una sobrecarga de trabajo</w:t>
      </w:r>
      <w:r w:rsidR="00981AB2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>para los mismos, situación que puede redundar en el correcto desempeño de sus funciones.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Por este motivo, la Comisión de Garantía Calidad del Centro planteó una Acción de Mejora en el curso 2012/13, común a todos los</w:t>
      </w:r>
      <w:r w:rsidR="00981AB2">
        <w:rPr>
          <w:rFonts w:ascii="Arial" w:hAnsi="Arial" w:cs="Arial"/>
          <w:b/>
          <w:bCs/>
          <w:color w:val="000000"/>
        </w:rPr>
        <w:t xml:space="preserve"> </w:t>
      </w:r>
      <w:r w:rsidRPr="00A0631B">
        <w:rPr>
          <w:rFonts w:ascii="Arial" w:hAnsi="Arial" w:cs="Arial"/>
          <w:b/>
          <w:bCs/>
          <w:color w:val="000000"/>
        </w:rPr>
        <w:t xml:space="preserve">títulos,  dirigida a incrementar el personal docente y de administración y servicios del Centro. Esta Acción permanece abierta para el curso 2015/16. 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D54A2" w:rsidRPr="00A0631B" w:rsidRDefault="00FD54A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981AB2" w:rsidRDefault="00981AB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0631B">
        <w:rPr>
          <w:rFonts w:ascii="Arial" w:hAnsi="Arial" w:cs="Arial"/>
          <w:b/>
          <w:bCs/>
          <w:color w:val="000000"/>
        </w:rPr>
        <w:lastRenderedPageBreak/>
        <w:t>6. Identificación de puntos fuertes y áreas de mejora</w:t>
      </w:r>
    </w:p>
    <w:p w:rsidR="00981AB2" w:rsidRDefault="00981AB2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Indicadores que han tenido mejores resultados:</w:t>
      </w:r>
    </w:p>
    <w:p w:rsidR="00A0631B" w:rsidRPr="00981AB2" w:rsidRDefault="00A0631B" w:rsidP="00E50833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81AB2">
        <w:rPr>
          <w:rFonts w:ascii="Arial" w:hAnsi="Arial" w:cs="Arial"/>
          <w:color w:val="000000"/>
        </w:rPr>
        <w:t>Rendimiento académico: Todas las tasas de evaluación del rendimiento académico se encuentran por encima del 70%. Además,</w:t>
      </w:r>
      <w:r w:rsidR="00981AB2" w:rsidRPr="00981AB2">
        <w:rPr>
          <w:rFonts w:ascii="Arial" w:hAnsi="Arial" w:cs="Arial"/>
          <w:color w:val="000000"/>
        </w:rPr>
        <w:t xml:space="preserve"> </w:t>
      </w:r>
      <w:r w:rsidRPr="00981AB2">
        <w:rPr>
          <w:rFonts w:ascii="Arial" w:hAnsi="Arial" w:cs="Arial"/>
          <w:color w:val="000000"/>
        </w:rPr>
        <w:t>en el 100% de las asignaturas el ratio créditos superados/créditos matriculados supera el 50% y la nota media es mayor de 6.</w:t>
      </w:r>
    </w:p>
    <w:p w:rsidR="00A0631B" w:rsidRPr="00981AB2" w:rsidRDefault="00A0631B" w:rsidP="00E50833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81AB2">
        <w:rPr>
          <w:rFonts w:ascii="Arial" w:hAnsi="Arial" w:cs="Arial"/>
          <w:color w:val="000000"/>
        </w:rPr>
        <w:t>Valoración de la actividad docente por los estudiantes: Los resultados son satisfactorios en cuanto a datos globales y en</w:t>
      </w:r>
      <w:r w:rsidR="00981AB2" w:rsidRPr="00981AB2">
        <w:rPr>
          <w:rFonts w:ascii="Arial" w:hAnsi="Arial" w:cs="Arial"/>
          <w:color w:val="000000"/>
        </w:rPr>
        <w:t xml:space="preserve"> </w:t>
      </w:r>
      <w:r w:rsidRPr="00981AB2">
        <w:rPr>
          <w:rFonts w:ascii="Arial" w:hAnsi="Arial" w:cs="Arial"/>
          <w:color w:val="000000"/>
        </w:rPr>
        <w:t>resultados por asignatura y profesor en la mayoría de los casos.</w:t>
      </w:r>
    </w:p>
    <w:p w:rsidR="00A0631B" w:rsidRPr="00981AB2" w:rsidRDefault="00A0631B" w:rsidP="00E50833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81AB2">
        <w:rPr>
          <w:rFonts w:ascii="Arial" w:hAnsi="Arial" w:cs="Arial"/>
          <w:color w:val="000000"/>
        </w:rPr>
        <w:t>Valoración de la actividad docente por el profesorado: Los resultados de satisfacción con el Plan de Estudios, también tienen una</w:t>
      </w:r>
      <w:r w:rsidR="00981AB2" w:rsidRPr="00981AB2">
        <w:rPr>
          <w:rFonts w:ascii="Arial" w:hAnsi="Arial" w:cs="Arial"/>
          <w:color w:val="000000"/>
        </w:rPr>
        <w:t xml:space="preserve"> </w:t>
      </w:r>
      <w:r w:rsidRPr="00981AB2">
        <w:rPr>
          <w:rFonts w:ascii="Arial" w:hAnsi="Arial" w:cs="Arial"/>
          <w:color w:val="000000"/>
        </w:rPr>
        <w:t>puntuación elevada.</w:t>
      </w:r>
    </w:p>
    <w:p w:rsidR="00A0631B" w:rsidRPr="00981AB2" w:rsidRDefault="00A0631B" w:rsidP="00E50833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81AB2">
        <w:rPr>
          <w:rFonts w:ascii="Arial" w:hAnsi="Arial" w:cs="Arial"/>
          <w:color w:val="000000"/>
        </w:rPr>
        <w:t xml:space="preserve">Valoración de las prácticas clínicas: Los resultados de encuestas son satisfactorios, así como la información cualitativa recogida </w:t>
      </w:r>
      <w:r w:rsidR="00E50833" w:rsidRPr="00981AB2">
        <w:rPr>
          <w:rFonts w:ascii="Arial" w:hAnsi="Arial" w:cs="Arial"/>
          <w:color w:val="000000"/>
        </w:rPr>
        <w:t>a través</w:t>
      </w:r>
      <w:r w:rsidRPr="00981AB2">
        <w:rPr>
          <w:rFonts w:ascii="Arial" w:hAnsi="Arial" w:cs="Arial"/>
          <w:color w:val="000000"/>
        </w:rPr>
        <w:t xml:space="preserve"> de las memorias de prácticas y no se detectan incidencias ni hechos destacables.</w:t>
      </w:r>
    </w:p>
    <w:p w:rsidR="00A0631B" w:rsidRPr="00E50833" w:rsidRDefault="00A0631B" w:rsidP="00E50833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50833">
        <w:rPr>
          <w:rFonts w:ascii="Arial" w:hAnsi="Arial" w:cs="Arial"/>
          <w:color w:val="000000"/>
        </w:rPr>
        <w:t>Resultados d</w:t>
      </w:r>
      <w:r w:rsidR="00981AB2" w:rsidRPr="00E50833">
        <w:rPr>
          <w:rFonts w:ascii="Arial" w:hAnsi="Arial" w:cs="Arial"/>
          <w:color w:val="000000"/>
        </w:rPr>
        <w:t>e reclamaciones y sugerencias:</w:t>
      </w:r>
      <w:r w:rsidR="00E50833">
        <w:rPr>
          <w:rFonts w:ascii="Arial" w:hAnsi="Arial" w:cs="Arial"/>
          <w:color w:val="000000"/>
        </w:rPr>
        <w:t xml:space="preserve"> </w:t>
      </w:r>
      <w:r w:rsidRPr="00E50833">
        <w:rPr>
          <w:rFonts w:ascii="Arial" w:hAnsi="Arial" w:cs="Arial"/>
          <w:color w:val="000000"/>
        </w:rPr>
        <w:t>No se recogieron reclamaciones/sugerencias durante el curso 2015/16.</w:t>
      </w:r>
    </w:p>
    <w:p w:rsidR="00A0631B" w:rsidRPr="00981AB2" w:rsidRDefault="00A0631B" w:rsidP="00E50833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81AB2">
        <w:rPr>
          <w:rFonts w:ascii="Arial" w:hAnsi="Arial" w:cs="Arial"/>
          <w:color w:val="000000"/>
        </w:rPr>
        <w:t>Recursos materiales: Se cuenta con recursos suficientes para el desarrollo de la Titulación y se han ido cubriendo las necesidades</w:t>
      </w:r>
      <w:r w:rsidR="00981AB2" w:rsidRPr="00981AB2">
        <w:rPr>
          <w:rFonts w:ascii="Arial" w:hAnsi="Arial" w:cs="Arial"/>
          <w:color w:val="000000"/>
        </w:rPr>
        <w:t xml:space="preserve"> </w:t>
      </w:r>
      <w:r w:rsidRPr="00981AB2">
        <w:rPr>
          <w:rFonts w:ascii="Arial" w:hAnsi="Arial" w:cs="Arial"/>
          <w:color w:val="000000"/>
        </w:rPr>
        <w:t>que han ido surgiendo. Se ha realizado inversión en infraestructura para mejorar la calidad de las aulas en este curso, así como en</w:t>
      </w:r>
      <w:r w:rsidR="00981AB2" w:rsidRPr="00981AB2">
        <w:rPr>
          <w:rFonts w:ascii="Arial" w:hAnsi="Arial" w:cs="Arial"/>
          <w:color w:val="000000"/>
        </w:rPr>
        <w:t xml:space="preserve"> </w:t>
      </w:r>
      <w:r w:rsidRPr="00981AB2">
        <w:rPr>
          <w:rFonts w:ascii="Arial" w:hAnsi="Arial" w:cs="Arial"/>
          <w:color w:val="000000"/>
        </w:rPr>
        <w:t>la plataforma virtual de apoyo a la docencia.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b/>
          <w:bCs/>
          <w:color w:val="000000"/>
        </w:rPr>
        <w:t>Indicadores que han tenido peores resultados:</w:t>
      </w:r>
    </w:p>
    <w:p w:rsidR="00A0631B" w:rsidRPr="00981AB2" w:rsidRDefault="00A0631B" w:rsidP="00E50833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81AB2">
        <w:rPr>
          <w:rFonts w:ascii="Arial" w:hAnsi="Arial" w:cs="Arial"/>
          <w:color w:val="000000"/>
        </w:rPr>
        <w:t>Comunicación y difusión de información del Título: Aún queda pendiente completar el desarrollo de la página web del Centro,</w:t>
      </w:r>
      <w:r w:rsidR="00981AB2" w:rsidRPr="00981AB2">
        <w:rPr>
          <w:rFonts w:ascii="Arial" w:hAnsi="Arial" w:cs="Arial"/>
          <w:color w:val="000000"/>
        </w:rPr>
        <w:t xml:space="preserve"> </w:t>
      </w:r>
      <w:r w:rsidRPr="00981AB2">
        <w:rPr>
          <w:rFonts w:ascii="Arial" w:hAnsi="Arial" w:cs="Arial"/>
          <w:color w:val="000000"/>
        </w:rPr>
        <w:t>pero en el momento de elaboración de este Informe el proyecto ya se encuentra en marcha.</w:t>
      </w:r>
    </w:p>
    <w:p w:rsidR="00E374A4" w:rsidRPr="00981AB2" w:rsidRDefault="00A0631B" w:rsidP="00E50833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981AB2">
        <w:rPr>
          <w:rFonts w:ascii="Arial" w:hAnsi="Arial" w:cs="Arial"/>
          <w:color w:val="000000"/>
        </w:rPr>
        <w:t>Recursos humanos, que se consideran insuficientes tras la implantación completa de los tres Títulos que se desarrollan en el</w:t>
      </w:r>
      <w:r w:rsidR="00981AB2" w:rsidRPr="00981AB2">
        <w:rPr>
          <w:rFonts w:ascii="Arial" w:hAnsi="Arial" w:cs="Arial"/>
          <w:color w:val="000000"/>
        </w:rPr>
        <w:t xml:space="preserve"> </w:t>
      </w:r>
      <w:r w:rsidRPr="00981AB2">
        <w:rPr>
          <w:rFonts w:ascii="Arial" w:hAnsi="Arial" w:cs="Arial"/>
          <w:color w:val="000000"/>
        </w:rPr>
        <w:t>Centro y teniendo en cuenta el resto de actividades que se desarrollan.</w:t>
      </w:r>
    </w:p>
    <w:p w:rsidR="00F9625D" w:rsidRPr="00A0631B" w:rsidRDefault="00F9625D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9625D" w:rsidRPr="00981AB2" w:rsidRDefault="00F9625D" w:rsidP="00981A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981AB2">
        <w:rPr>
          <w:rFonts w:ascii="Arial" w:hAnsi="Arial" w:cs="Arial"/>
          <w:b/>
          <w:bCs/>
          <w:color w:val="000000"/>
        </w:rPr>
        <w:lastRenderedPageBreak/>
        <w:t>Conclusiones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conclusión, el seguimiento del Título de Máster en Fisioterapia Respiratoria y Cardiaca en el curso 2015/16 ha contado con los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mecanismos suficientes para evaluar los indicadores previstos en el SGIC.</w:t>
      </w: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El proceso de Seguimiento puede resumirse en tres líneas de actuación:</w:t>
      </w:r>
    </w:p>
    <w:p w:rsidR="00A0631B" w:rsidRPr="00E50833" w:rsidRDefault="00A0631B" w:rsidP="00E5083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50833">
        <w:rPr>
          <w:rFonts w:ascii="Arial" w:hAnsi="Arial" w:cs="Arial"/>
          <w:color w:val="000000"/>
        </w:rPr>
        <w:t>Recogida de la información necesaria para la elaboración de los informes que reflejaron el estado de los diferentes indicadores</w:t>
      </w:r>
      <w:r w:rsidR="00981AB2" w:rsidRPr="00E50833">
        <w:rPr>
          <w:rFonts w:ascii="Arial" w:hAnsi="Arial" w:cs="Arial"/>
          <w:color w:val="000000"/>
        </w:rPr>
        <w:t xml:space="preserve"> </w:t>
      </w:r>
      <w:r w:rsidRPr="00E50833">
        <w:rPr>
          <w:rFonts w:ascii="Arial" w:hAnsi="Arial" w:cs="Arial"/>
          <w:color w:val="000000"/>
        </w:rPr>
        <w:t>que establecía el procedimiento del SGIC verificado por la ANECA.</w:t>
      </w:r>
    </w:p>
    <w:p w:rsidR="00A0631B" w:rsidRPr="00E50833" w:rsidRDefault="00A0631B" w:rsidP="00E5083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50833">
        <w:rPr>
          <w:rFonts w:ascii="Arial" w:hAnsi="Arial" w:cs="Arial"/>
          <w:color w:val="000000"/>
        </w:rPr>
        <w:t>Valoración exhaustiva de estos indicadores por la Comisión de Seguimiento del Título. Ratificación de las conclusiones y</w:t>
      </w:r>
      <w:r w:rsidR="00981AB2" w:rsidRPr="00E50833">
        <w:rPr>
          <w:rFonts w:ascii="Arial" w:hAnsi="Arial" w:cs="Arial"/>
          <w:color w:val="000000"/>
        </w:rPr>
        <w:t xml:space="preserve"> </w:t>
      </w:r>
      <w:r w:rsidRPr="00E50833">
        <w:rPr>
          <w:rFonts w:ascii="Arial" w:hAnsi="Arial" w:cs="Arial"/>
          <w:color w:val="000000"/>
        </w:rPr>
        <w:t>propuestas de mejora por parte de la Comisión de Garantía Interna de Calidad y la Junta de Centro, en última instancia.</w:t>
      </w:r>
    </w:p>
    <w:p w:rsidR="00A0631B" w:rsidRPr="00E50833" w:rsidRDefault="00A0631B" w:rsidP="00E5083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50833">
        <w:rPr>
          <w:rFonts w:ascii="Arial" w:hAnsi="Arial" w:cs="Arial"/>
          <w:color w:val="000000"/>
        </w:rPr>
        <w:t>Difusión del procedimiento y los resultados del Seguimiento, entre los distintos colectivos implicados y publicación en la página</w:t>
      </w:r>
      <w:r w:rsidR="00981AB2" w:rsidRPr="00E50833">
        <w:rPr>
          <w:rFonts w:ascii="Arial" w:hAnsi="Arial" w:cs="Arial"/>
          <w:color w:val="000000"/>
        </w:rPr>
        <w:t xml:space="preserve"> </w:t>
      </w:r>
      <w:r w:rsidRPr="00E50833">
        <w:rPr>
          <w:rFonts w:ascii="Arial" w:hAnsi="Arial" w:cs="Arial"/>
          <w:color w:val="000000"/>
        </w:rPr>
        <w:t>web del Centro.</w:t>
      </w:r>
    </w:p>
    <w:p w:rsidR="00E50833" w:rsidRDefault="00E50833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 xml:space="preserve">Paralelamente, la Comisión de Seguimiento y la </w:t>
      </w:r>
      <w:r w:rsidR="00E50833" w:rsidRPr="00A0631B">
        <w:rPr>
          <w:rFonts w:ascii="Arial" w:hAnsi="Arial" w:cs="Arial"/>
          <w:color w:val="000000"/>
        </w:rPr>
        <w:t>Coordinación</w:t>
      </w:r>
      <w:r w:rsidRPr="00A0631B">
        <w:rPr>
          <w:rFonts w:ascii="Arial" w:hAnsi="Arial" w:cs="Arial"/>
          <w:color w:val="000000"/>
        </w:rPr>
        <w:t xml:space="preserve"> del Título han realizado otras acciones de Coordinación Docente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entre las cuales destacan:</w:t>
      </w:r>
    </w:p>
    <w:p w:rsidR="00A0631B" w:rsidRPr="00E50833" w:rsidRDefault="00A0631B" w:rsidP="00E50833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50833">
        <w:rPr>
          <w:rFonts w:ascii="Arial" w:hAnsi="Arial" w:cs="Arial"/>
        </w:rPr>
        <w:t>Revisión de las Guías Docentes para el curso académico 2016/17, asegurando la homogeneidad en cuanto a su estructuración y</w:t>
      </w:r>
      <w:r w:rsidR="00981AB2" w:rsidRPr="00E50833"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vigilando la coherencia entre las competencias a desarrollar, los contenidos contemplados, las actividades formativas</w:t>
      </w:r>
      <w:r w:rsidR="00981AB2" w:rsidRPr="00E50833"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programadas y los criterios de evaluación propuestos, en cada asignatura. Del mismo modo, se ha prestado especial atención en</w:t>
      </w:r>
      <w:r w:rsidR="00981AB2" w:rsidRPr="00E50833"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la transversalidad entre asignaturas, intentando alcanzar la no repetición innecesaria de contenidos, así como la coordinación</w:t>
      </w:r>
      <w:r w:rsidR="00981AB2" w:rsidRPr="00E50833"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adecuada entre materias vinculadas.</w:t>
      </w:r>
    </w:p>
    <w:p w:rsidR="00A0631B" w:rsidRPr="00E50833" w:rsidRDefault="00A0631B" w:rsidP="00E50833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50833">
        <w:rPr>
          <w:rFonts w:ascii="Arial" w:hAnsi="Arial" w:cs="Arial"/>
        </w:rPr>
        <w:t>Asistencia a las reuniones de la Comisión de Estudios de Postgrado de la UAM por parte de la Coordinadora del Título, en calidad</w:t>
      </w:r>
      <w:r w:rsidR="00981AB2" w:rsidRPr="00E50833"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de representante de Postgrado del Centro. Estas reuniones se realizaban con carácter bimensual.</w:t>
      </w:r>
    </w:p>
    <w:p w:rsidR="00A0631B" w:rsidRPr="00E50833" w:rsidRDefault="00A0631B" w:rsidP="00E50833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50833">
        <w:rPr>
          <w:rFonts w:ascii="Arial" w:hAnsi="Arial" w:cs="Arial"/>
        </w:rPr>
        <w:t>Reuniones de coordinación del profesorado. Se llevó a cabo una reunión al final de curso para analizar el desarrollo del  Título, en</w:t>
      </w:r>
      <w:r w:rsidR="00981AB2" w:rsidRPr="00E50833"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la que participaron los docentes con mayor carga lectiva.</w:t>
      </w:r>
    </w:p>
    <w:p w:rsidR="00A0631B" w:rsidRPr="00E50833" w:rsidRDefault="00A0631B" w:rsidP="00E50833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50833">
        <w:rPr>
          <w:rFonts w:ascii="Arial" w:hAnsi="Arial" w:cs="Arial"/>
        </w:rPr>
        <w:lastRenderedPageBreak/>
        <w:t xml:space="preserve">Coordinación de las prácticas </w:t>
      </w:r>
      <w:r w:rsidR="00E50833" w:rsidRPr="00E50833">
        <w:rPr>
          <w:rFonts w:ascii="Arial" w:hAnsi="Arial" w:cs="Arial"/>
        </w:rPr>
        <w:t>clínicas. Las</w:t>
      </w:r>
      <w:r w:rsidRPr="00E50833">
        <w:rPr>
          <w:rFonts w:ascii="Arial" w:hAnsi="Arial" w:cs="Arial"/>
        </w:rPr>
        <w:t xml:space="preserve"> tutoras académicas mantuvieron una comunicación constante y fluida con los tutores</w:t>
      </w:r>
      <w:r w:rsidR="00981AB2" w:rsidRPr="00E50833"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profesionales de los distintos centros. Así mismo, al finalizar el curso, analizaron la información reportada por los estudiantes y</w:t>
      </w:r>
      <w:r w:rsidR="00981AB2" w:rsidRPr="00E50833"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transmitieron los resultados a cada centro colaborador, valorando en su caso, realizar modificaciones organizativas  para el curso</w:t>
      </w:r>
      <w:r w:rsidR="00981AB2" w:rsidRPr="00E50833"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siguiente.</w:t>
      </w:r>
    </w:p>
    <w:p w:rsidR="00A0631B" w:rsidRPr="00E50833" w:rsidRDefault="00A0631B" w:rsidP="00E50833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50833">
        <w:rPr>
          <w:rFonts w:ascii="Arial" w:hAnsi="Arial" w:cs="Arial"/>
        </w:rPr>
        <w:t>Coordinación del Trabajo Fin de Máster. La coordinadora de la asignatura mantuvo comunicación fluida con los tutores,</w:t>
      </w:r>
      <w:r w:rsidR="00981AB2" w:rsidRPr="00E50833"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informando puntualmente de cualquier modificación en el procedimiento de la acción tutelar y/o evaluación de los estudiantes.</w:t>
      </w:r>
    </w:p>
    <w:p w:rsidR="00E50833" w:rsidRDefault="00E50833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Así mismo, se cuenta con un documento general de apoyo a la elaboración del TFM, disponible para tutores y estudiantes, y que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es coherente con los homólogos en las asignaturas de Trabajo Fin de Título de los otros Títulos de la Escuela. Por último, al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finalizar el curso, se llevó a cabo una reunión organizativa en la que participaron los coordinadores de TFM y TFG del Centro y un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cierto número de profesores-tutores. El objetivo de dicha reunión fue establecer directrices comunes a todos los Títulos para el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desarrollo y la evaluación de los TFG/TFM.</w:t>
      </w:r>
    </w:p>
    <w:p w:rsidR="00E50833" w:rsidRDefault="00E50833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0631B" w:rsidRPr="00A0631B" w:rsidRDefault="00A0631B" w:rsidP="00A06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631B">
        <w:rPr>
          <w:rFonts w:ascii="Arial" w:hAnsi="Arial" w:cs="Arial"/>
          <w:color w:val="000000"/>
        </w:rPr>
        <w:t>En este proceso se han detectado tareas pendientes y aspectos a mejorar, que quedan reflejados en el Plan de Mejora adjunto. En base a</w:t>
      </w:r>
      <w:r w:rsidR="00981AB2">
        <w:rPr>
          <w:rFonts w:ascii="Arial" w:hAnsi="Arial" w:cs="Arial"/>
          <w:color w:val="000000"/>
        </w:rPr>
        <w:t xml:space="preserve"> </w:t>
      </w:r>
      <w:r w:rsidRPr="00A0631B">
        <w:rPr>
          <w:rFonts w:ascii="Arial" w:hAnsi="Arial" w:cs="Arial"/>
          <w:color w:val="000000"/>
        </w:rPr>
        <w:t>este Plan de Mejora, se marcarán como objetivos para cursos siguientes:</w:t>
      </w:r>
    </w:p>
    <w:p w:rsidR="00A0631B" w:rsidRPr="00981AB2" w:rsidRDefault="00A0631B" w:rsidP="00E50833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81AB2">
        <w:rPr>
          <w:rFonts w:ascii="Arial" w:hAnsi="Arial" w:cs="Arial"/>
          <w:color w:val="000000"/>
        </w:rPr>
        <w:t>Incrementar la oferta de prácticas en cuanto a las rotaciones temáticas de Rehabilitación Respiratoria y Cardiaca.</w:t>
      </w:r>
    </w:p>
    <w:p w:rsidR="00A0631B" w:rsidRPr="00981AB2" w:rsidRDefault="00A0631B" w:rsidP="00E50833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81AB2">
        <w:rPr>
          <w:rFonts w:ascii="Arial" w:hAnsi="Arial" w:cs="Arial"/>
          <w:color w:val="000000"/>
        </w:rPr>
        <w:t>Remodelar la asignatura de Fisioterapia Respiratoria en el paciente crítico y neuromuscular.</w:t>
      </w:r>
    </w:p>
    <w:p w:rsidR="00A0631B" w:rsidRPr="00981AB2" w:rsidRDefault="00A0631B" w:rsidP="00E50833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981AB2">
        <w:rPr>
          <w:rFonts w:ascii="Arial" w:hAnsi="Arial" w:cs="Arial"/>
          <w:color w:val="000000"/>
        </w:rPr>
        <w:t>Ampliar la plantilla docente y de administración vinculada al Título.</w:t>
      </w:r>
    </w:p>
    <w:sectPr w:rsidR="00A0631B" w:rsidRPr="00981AB2" w:rsidSect="00AB6899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AB2" w:rsidRDefault="00981AB2" w:rsidP="0069068F">
      <w:pPr>
        <w:rPr>
          <w:noProof/>
        </w:rPr>
      </w:pPr>
      <w:r>
        <w:separator/>
      </w:r>
    </w:p>
  </w:endnote>
  <w:endnote w:type="continuationSeparator" w:id="0">
    <w:p w:rsidR="00981AB2" w:rsidRDefault="00981AB2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B2" w:rsidRDefault="00CE204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8674" type="#_x0000_t202" alt="Corporación de Derecho Público regulada por RD 358/91 de 15 de marzo. CIF Q2866004A . Domicilio Social: c/ José Ortega y Gasset, 18. 28006 Madrid" style="position:absolute;margin-left:-283.95pt;margin-top:-368.8pt;width:420.3pt;height:14.55pt;rotation:-90;z-index:-251653120;visibility:visible;mso-wrap-style:none;mso-wrap-distance-top:3.6pt;mso-wrap-distance-bottom:3.6pt;mso-position-horizontal-relative:margin;mso-width-relative:margin;mso-height-relative:margin;v-text-anchor:middle" wrapcoords="0 0 0 20463 21600 20463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" stroked="f" strokecolor="#7f7f7f">
          <v:textbox style="layout-flow:vertical;mso-layout-flow-alt:bottom-to-top;mso-next-textbox:#Cuadro de texto 2">
            <w:txbxContent>
              <w:p w:rsidR="00981AB2" w:rsidRPr="00583891" w:rsidRDefault="00981AB2" w:rsidP="00AB6899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583891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Corporación de Derecho Público regulada por RD 358/91 de 15 de marzo. CIF Q2866004A. Domicilio Social: c/ José Ortega y Gasset, 18. 28006 Madrid</w:t>
                </w:r>
              </w:p>
            </w:txbxContent>
          </v:textbox>
          <w10:wrap type="through" anchorx="margin"/>
        </v:shape>
      </w:pict>
    </w:r>
    <w:r w:rsidR="00981AB2" w:rsidRPr="00AB689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-495300</wp:posOffset>
          </wp:positionH>
          <wp:positionV relativeFrom="paragraph">
            <wp:posOffset>-1532255</wp:posOffset>
          </wp:positionV>
          <wp:extent cx="2305050" cy="2114550"/>
          <wp:effectExtent l="19050" t="0" r="0" b="0"/>
          <wp:wrapNone/>
          <wp:docPr id="3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211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AB2" w:rsidRDefault="00981AB2" w:rsidP="0069068F">
      <w:pPr>
        <w:rPr>
          <w:noProof/>
        </w:rPr>
      </w:pPr>
      <w:r>
        <w:separator/>
      </w:r>
    </w:p>
  </w:footnote>
  <w:footnote w:type="continuationSeparator" w:id="0">
    <w:p w:rsidR="00981AB2" w:rsidRDefault="00981AB2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981AB2" w:rsidTr="00126552">
      <w:trPr>
        <w:trHeight w:val="710"/>
      </w:trPr>
      <w:tc>
        <w:tcPr>
          <w:tcW w:w="4537" w:type="dxa"/>
        </w:tcPr>
        <w:p w:rsidR="00981AB2" w:rsidRPr="00AB6899" w:rsidRDefault="00981AB2" w:rsidP="00126552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981AB2" w:rsidRPr="00475BA0" w:rsidRDefault="00981AB2" w:rsidP="00126552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18415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981AB2" w:rsidRPr="00C870BD" w:rsidRDefault="00981AB2" w:rsidP="00126552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981AB2" w:rsidRPr="00C870BD" w:rsidRDefault="00981AB2" w:rsidP="00126552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981AB2" w:rsidRDefault="00981AB2" w:rsidP="00126552">
          <w:pPr>
            <w:pStyle w:val="Encabezado"/>
            <w:jc w:val="right"/>
          </w:pPr>
        </w:p>
      </w:tc>
    </w:tr>
  </w:tbl>
  <w:p w:rsidR="00981AB2" w:rsidRPr="00AB6899" w:rsidRDefault="00981AB2" w:rsidP="00AB689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981AB2" w:rsidTr="0084335A">
      <w:trPr>
        <w:trHeight w:val="710"/>
      </w:trPr>
      <w:tc>
        <w:tcPr>
          <w:tcW w:w="4537" w:type="dxa"/>
        </w:tcPr>
        <w:p w:rsidR="00981AB2" w:rsidRPr="00AB6899" w:rsidRDefault="00981AB2" w:rsidP="00AB6899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981AB2" w:rsidRPr="00475BA0" w:rsidRDefault="00981AB2" w:rsidP="00475BA0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28575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5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981AB2" w:rsidRPr="00C870BD" w:rsidRDefault="00981AB2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981AB2" w:rsidRPr="00C870BD" w:rsidRDefault="00981AB2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981AB2" w:rsidRDefault="00981AB2" w:rsidP="0084335A">
          <w:pPr>
            <w:pStyle w:val="Encabezado"/>
            <w:jc w:val="right"/>
          </w:pPr>
        </w:p>
      </w:tc>
    </w:tr>
  </w:tbl>
  <w:p w:rsidR="00981AB2" w:rsidRDefault="00981AB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B2" w:rsidRDefault="00981AB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-314960</wp:posOffset>
          </wp:positionH>
          <wp:positionV relativeFrom="paragraph">
            <wp:posOffset>57785</wp:posOffset>
          </wp:positionV>
          <wp:extent cx="1524635" cy="356870"/>
          <wp:effectExtent l="19050" t="0" r="0" b="0"/>
          <wp:wrapThrough wrapText="bothSides">
            <wp:wrapPolygon edited="0">
              <wp:start x="-270" y="0"/>
              <wp:lineTo x="-270" y="20754"/>
              <wp:lineTo x="21591" y="20754"/>
              <wp:lineTo x="21591" y="0"/>
              <wp:lineTo x="-270" y="0"/>
            </wp:wrapPolygon>
          </wp:wrapThrough>
          <wp:docPr id="5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204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8673" type="#_x0000_t202" style="position:absolute;margin-left:169pt;margin-top:3pt;width:290.9pt;height:80.35pt;z-index:251660288;visibility:visible;mso-wrap-distance-top:3.6pt;mso-wrap-distance-bottom:3.6pt;mso-position-horizontal-relative:margin;mso-position-vertical-relative:text;mso-width-relative:margin;mso-height-relative:margin" wrapcoords="-71 0 -71 21390 21600 21390 21600 0 -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" stroked="f">
          <v:textbox style="mso-next-textbox:#_x0000_s28673">
            <w:txbxContent>
              <w:p w:rsidR="00981AB2" w:rsidRDefault="00981AB2" w:rsidP="00AB6899">
                <w:pPr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b/>
                    <w:sz w:val="19"/>
                    <w:szCs w:val="19"/>
                  </w:rPr>
                  <w:t>ESCUELA UNIVERSITARIA DE FISIOTERAPIA DE LA ONCE</w:t>
                </w:r>
              </w:p>
              <w:p w:rsidR="00981AB2" w:rsidRPr="00583891" w:rsidRDefault="00981AB2" w:rsidP="00AB6899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583891">
                  <w:rPr>
                    <w:rFonts w:ascii="Arial" w:hAnsi="Arial" w:cs="Arial"/>
                    <w:sz w:val="18"/>
                    <w:szCs w:val="18"/>
                  </w:rPr>
                  <w:t>UNIVERSIDAD AUTÓNOMA DE MADRID</w:t>
                </w:r>
              </w:p>
              <w:p w:rsidR="00981AB2" w:rsidRPr="00776FB1" w:rsidRDefault="00981AB2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sz w:val="17"/>
                    <w:szCs w:val="17"/>
                  </w:rPr>
                  <w:t>Nuria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 xml:space="preserve"> 4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2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>, Madrid 280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34</w:t>
                </w:r>
              </w:p>
              <w:p w:rsidR="00981AB2" w:rsidRPr="00776FB1" w:rsidRDefault="00981AB2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T: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5 00 · F: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98</w:t>
                </w:r>
              </w:p>
              <w:p w:rsidR="00981AB2" w:rsidRPr="00776FB1" w:rsidRDefault="00981AB2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euf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>@once.es</w:t>
                </w:r>
              </w:p>
              <w:p w:rsidR="00981AB2" w:rsidRPr="00151EA4" w:rsidRDefault="00981AB2" w:rsidP="00AB6899">
                <w:pPr>
                  <w:spacing w:before="120"/>
                  <w:jc w:val="right"/>
                  <w:rPr>
                    <w:lang w:val="en-US"/>
                  </w:rPr>
                </w:pPr>
                <w:r w:rsidRPr="00583891">
                  <w:rPr>
                    <w:rFonts w:ascii="Arial" w:hAnsi="Arial" w:cs="Arial"/>
                    <w:b/>
                    <w:color w:val="538135"/>
                    <w:sz w:val="16"/>
                    <w:szCs w:val="16"/>
                    <w:lang w:val="en-US"/>
                  </w:rPr>
                  <w:t>www.once.es</w:t>
                </w:r>
              </w:p>
            </w:txbxContent>
          </v:textbox>
          <w10:wrap type="through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9BD"/>
    <w:multiLevelType w:val="hybridMultilevel"/>
    <w:tmpl w:val="203AAE8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26AB"/>
    <w:multiLevelType w:val="hybridMultilevel"/>
    <w:tmpl w:val="45F09B2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33074"/>
    <w:multiLevelType w:val="hybridMultilevel"/>
    <w:tmpl w:val="FA76173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74F3B"/>
    <w:multiLevelType w:val="hybridMultilevel"/>
    <w:tmpl w:val="AFA85F2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66A47"/>
    <w:multiLevelType w:val="hybridMultilevel"/>
    <w:tmpl w:val="2926E9D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75C83"/>
    <w:multiLevelType w:val="hybridMultilevel"/>
    <w:tmpl w:val="AD66A7A0"/>
    <w:lvl w:ilvl="0" w:tplc="39B410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A71C2C"/>
    <w:multiLevelType w:val="hybridMultilevel"/>
    <w:tmpl w:val="DF8ECE5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F5499"/>
    <w:multiLevelType w:val="hybridMultilevel"/>
    <w:tmpl w:val="23F007B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94E4710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9C2AEB"/>
    <w:multiLevelType w:val="hybridMultilevel"/>
    <w:tmpl w:val="2F1EF90E"/>
    <w:lvl w:ilvl="0" w:tplc="1FD48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77C7A"/>
    <w:multiLevelType w:val="hybridMultilevel"/>
    <w:tmpl w:val="7562C32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D23A2"/>
    <w:multiLevelType w:val="hybridMultilevel"/>
    <w:tmpl w:val="71427DF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A044C2">
      <w:numFmt w:val="bullet"/>
      <w:lvlText w:val="-"/>
      <w:lvlJc w:val="left"/>
      <w:pPr>
        <w:ind w:left="1440" w:hanging="360"/>
      </w:pPr>
      <w:rPr>
        <w:rFonts w:ascii="Lucida Fax" w:eastAsia="Times New Roman" w:hAnsi="Lucida Fax" w:cs="Lucida Fax" w:hint="default"/>
        <w:b w:val="0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017BF"/>
    <w:multiLevelType w:val="hybridMultilevel"/>
    <w:tmpl w:val="5A365B42"/>
    <w:lvl w:ilvl="0" w:tplc="4EE633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01400"/>
    <w:multiLevelType w:val="hybridMultilevel"/>
    <w:tmpl w:val="CBBA162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33D97"/>
    <w:multiLevelType w:val="hybridMultilevel"/>
    <w:tmpl w:val="1CF43F04"/>
    <w:lvl w:ilvl="0" w:tplc="4EE633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94E4710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9E5F70"/>
    <w:multiLevelType w:val="hybridMultilevel"/>
    <w:tmpl w:val="1FF8C190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49B2F4C"/>
    <w:multiLevelType w:val="hybridMultilevel"/>
    <w:tmpl w:val="43127BA2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7E67D8B"/>
    <w:multiLevelType w:val="hybridMultilevel"/>
    <w:tmpl w:val="2A8A6AC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87F83"/>
    <w:multiLevelType w:val="hybridMultilevel"/>
    <w:tmpl w:val="4FB8CC4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66E5D"/>
    <w:multiLevelType w:val="hybridMultilevel"/>
    <w:tmpl w:val="B41C4C1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E2D23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D1EC5"/>
    <w:multiLevelType w:val="hybridMultilevel"/>
    <w:tmpl w:val="5C0A839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F783C"/>
    <w:multiLevelType w:val="hybridMultilevel"/>
    <w:tmpl w:val="E95AB21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73D5D"/>
    <w:multiLevelType w:val="hybridMultilevel"/>
    <w:tmpl w:val="99F82E1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A6AA5"/>
    <w:multiLevelType w:val="hybridMultilevel"/>
    <w:tmpl w:val="213A3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041465"/>
    <w:multiLevelType w:val="hybridMultilevel"/>
    <w:tmpl w:val="1DC6B59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B5546E"/>
    <w:multiLevelType w:val="hybridMultilevel"/>
    <w:tmpl w:val="73526DF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C3374"/>
    <w:multiLevelType w:val="hybridMultilevel"/>
    <w:tmpl w:val="37506EC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C0A0F"/>
    <w:multiLevelType w:val="hybridMultilevel"/>
    <w:tmpl w:val="1DB4FFD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8"/>
  </w:num>
  <w:num w:numId="5">
    <w:abstractNumId w:val="24"/>
  </w:num>
  <w:num w:numId="6">
    <w:abstractNumId w:val="4"/>
  </w:num>
  <w:num w:numId="7">
    <w:abstractNumId w:val="22"/>
  </w:num>
  <w:num w:numId="8">
    <w:abstractNumId w:val="14"/>
  </w:num>
  <w:num w:numId="9">
    <w:abstractNumId w:val="7"/>
  </w:num>
  <w:num w:numId="10">
    <w:abstractNumId w:val="15"/>
  </w:num>
  <w:num w:numId="11">
    <w:abstractNumId w:val="5"/>
  </w:num>
  <w:num w:numId="12">
    <w:abstractNumId w:val="2"/>
  </w:num>
  <w:num w:numId="13">
    <w:abstractNumId w:val="18"/>
  </w:num>
  <w:num w:numId="14">
    <w:abstractNumId w:val="3"/>
  </w:num>
  <w:num w:numId="15">
    <w:abstractNumId w:val="6"/>
  </w:num>
  <w:num w:numId="16">
    <w:abstractNumId w:val="19"/>
  </w:num>
  <w:num w:numId="17">
    <w:abstractNumId w:val="12"/>
  </w:num>
  <w:num w:numId="18">
    <w:abstractNumId w:val="9"/>
  </w:num>
  <w:num w:numId="19">
    <w:abstractNumId w:val="21"/>
  </w:num>
  <w:num w:numId="20">
    <w:abstractNumId w:val="0"/>
  </w:num>
  <w:num w:numId="21">
    <w:abstractNumId w:val="20"/>
  </w:num>
  <w:num w:numId="22">
    <w:abstractNumId w:val="25"/>
  </w:num>
  <w:num w:numId="23">
    <w:abstractNumId w:val="13"/>
  </w:num>
  <w:num w:numId="24">
    <w:abstractNumId w:val="26"/>
  </w:num>
  <w:num w:numId="25">
    <w:abstractNumId w:val="17"/>
  </w:num>
  <w:num w:numId="26">
    <w:abstractNumId w:val="23"/>
  </w:num>
  <w:num w:numId="27">
    <w:abstractNumId w:val="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attachedTemplate r:id="rId1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8677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1C795D"/>
    <w:rsid w:val="000627EB"/>
    <w:rsid w:val="00126552"/>
    <w:rsid w:val="001A2283"/>
    <w:rsid w:val="001C795D"/>
    <w:rsid w:val="00202C01"/>
    <w:rsid w:val="00217ADC"/>
    <w:rsid w:val="00270EF4"/>
    <w:rsid w:val="00315D76"/>
    <w:rsid w:val="003166BF"/>
    <w:rsid w:val="00384F6D"/>
    <w:rsid w:val="003D32A7"/>
    <w:rsid w:val="00406E5D"/>
    <w:rsid w:val="00415EED"/>
    <w:rsid w:val="0043287C"/>
    <w:rsid w:val="00435D9B"/>
    <w:rsid w:val="004604B1"/>
    <w:rsid w:val="00475BA0"/>
    <w:rsid w:val="004E1F06"/>
    <w:rsid w:val="004E6CFE"/>
    <w:rsid w:val="00545419"/>
    <w:rsid w:val="006248A7"/>
    <w:rsid w:val="0069068F"/>
    <w:rsid w:val="006A7410"/>
    <w:rsid w:val="006D4356"/>
    <w:rsid w:val="007A1170"/>
    <w:rsid w:val="0081792D"/>
    <w:rsid w:val="008303B4"/>
    <w:rsid w:val="0084335A"/>
    <w:rsid w:val="008F2752"/>
    <w:rsid w:val="00962DA4"/>
    <w:rsid w:val="00981AB2"/>
    <w:rsid w:val="00A0631B"/>
    <w:rsid w:val="00A42985"/>
    <w:rsid w:val="00A74745"/>
    <w:rsid w:val="00AB6899"/>
    <w:rsid w:val="00B4601A"/>
    <w:rsid w:val="00B570E9"/>
    <w:rsid w:val="00C82D08"/>
    <w:rsid w:val="00C914E0"/>
    <w:rsid w:val="00CE2047"/>
    <w:rsid w:val="00CE39CF"/>
    <w:rsid w:val="00CF3AEC"/>
    <w:rsid w:val="00E30BD0"/>
    <w:rsid w:val="00E374A4"/>
    <w:rsid w:val="00E50833"/>
    <w:rsid w:val="00E74B2F"/>
    <w:rsid w:val="00E92B3F"/>
    <w:rsid w:val="00F235E6"/>
    <w:rsid w:val="00F9625D"/>
    <w:rsid w:val="00FD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F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3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335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A2217E1E-0816-4D07-B3CE-EA22E7C30837}"/>
</file>

<file path=customXml/itemProps2.xml><?xml version="1.0" encoding="utf-8"?>
<ds:datastoreItem xmlns:ds="http://schemas.openxmlformats.org/officeDocument/2006/customXml" ds:itemID="{1BF1136A-CCAD-4332-B221-9B67DEE3CDC7}"/>
</file>

<file path=customXml/itemProps3.xml><?xml version="1.0" encoding="utf-8"?>
<ds:datastoreItem xmlns:ds="http://schemas.openxmlformats.org/officeDocument/2006/customXml" ds:itemID="{DAAA7CF7-293C-43AE-B7E7-B0AAB51075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59</TotalTime>
  <Pages>22</Pages>
  <Words>5205</Words>
  <Characters>28241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5</cp:revision>
  <dcterms:created xsi:type="dcterms:W3CDTF">2017-03-30T13:16:00Z</dcterms:created>
  <dcterms:modified xsi:type="dcterms:W3CDTF">2017-05-30T11:54:00Z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131600</vt:r8>
  </property>
  <property fmtid="{D5CDD505-2E9C-101B-9397-08002B2CF9AE}" pid="5" name="docLang">
    <vt:lpwstr>es</vt:lpwstr>
  </property>
  <property fmtid="{D5CDD505-2E9C-101B-9397-08002B2CF9AE}" pid="6" name="MediaServiceImageTags">
    <vt:lpwstr/>
  </property>
</Properties>
</file>